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footnotes.xml.rels" ContentType="application/vnd.openxmlformats-package.relationships+xml"/>
  <Override PartName="/word/_rels/document.xml.rels" ContentType="application/vnd.openxmlformats-package.relationships+xml"/>
  <Override PartName="/word/media/image1.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otnotes.xml" ContentType="application/vnd.openxmlformats-officedocument.wordprocessingml.footnotes+xml"/>
  <Override PartName="/word/fontTable.xml" ContentType="application/vnd.openxmlformats-officedocument.wordprocessingml.fontTable+xml"/>
  <Override PartName="/word/numbering.xml" ContentType="application/vnd.openxmlformats-officedocument.wordprocessingml.numbering+xml"/>
  <Override PartName="/word/glossary/_rels/document.xml.rels" ContentType="application/vnd.openxmlformats-package.relationship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before="480" w:after="120"/>
        <w:ind w:hanging="0" w:left="0" w:right="2124"/>
        <w:rPr>
          <w:color w:val="1F4E79"/>
        </w:rPr>
      </w:pPr>
      <w:r>
        <w:drawing>
          <wp:anchor behindDoc="0" distT="0" distB="0" distL="114300" distR="114300" simplePos="0" locked="0" layoutInCell="0" allowOverlap="1" relativeHeight="2">
            <wp:simplePos x="0" y="0"/>
            <wp:positionH relativeFrom="page">
              <wp:posOffset>6120765</wp:posOffset>
            </wp:positionH>
            <wp:positionV relativeFrom="page">
              <wp:posOffset>360045</wp:posOffset>
            </wp:positionV>
            <wp:extent cx="1043940" cy="838835"/>
            <wp:effectExtent l="0" t="0" r="0" b="0"/>
            <wp:wrapTight wrapText="bothSides">
              <wp:wrapPolygon edited="0">
                <wp:start x="7474" y="0"/>
                <wp:lineTo x="1953" y="4404"/>
                <wp:lineTo x="1164" y="5387"/>
                <wp:lineTo x="2352" y="7837"/>
                <wp:lineTo x="-18" y="9315"/>
                <wp:lineTo x="-18" y="20604"/>
                <wp:lineTo x="14567" y="21090"/>
                <wp:lineTo x="18906" y="21090"/>
                <wp:lineTo x="19298" y="21090"/>
                <wp:lineTo x="21276" y="15693"/>
                <wp:lineTo x="21276" y="9801"/>
                <wp:lineTo x="20485" y="7351"/>
                <wp:lineTo x="11024" y="0"/>
                <wp:lineTo x="7474" y="0"/>
              </wp:wrapPolygon>
            </wp:wrapTight>
            <wp:docPr id="1" name="Grafik 0" descr="Leibniz_LOGO fuer Briefkopf_Logo_DE_Blau-Schwarz_100mm Kop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0" descr="Leibniz_LOGO fuer Briefkopf_Logo_DE_Blau-Schwarz_100mm Kopie.png"/>
                    <pic:cNvPicPr>
                      <a:picLocks noChangeAspect="1" noChangeArrowheads="1"/>
                    </pic:cNvPicPr>
                  </pic:nvPicPr>
                  <pic:blipFill>
                    <a:blip r:embed="rId2">
                      <a:biLevel thresh="50000"/>
                    </a:blip>
                    <a:stretch>
                      <a:fillRect/>
                    </a:stretch>
                  </pic:blipFill>
                  <pic:spPr bwMode="auto">
                    <a:xfrm>
                      <a:off x="0" y="0"/>
                      <a:ext cx="1043940" cy="838835"/>
                    </a:xfrm>
                    <a:prstGeom prst="rect">
                      <a:avLst/>
                    </a:prstGeom>
                  </pic:spPr>
                </pic:pic>
              </a:graphicData>
            </a:graphic>
          </wp:anchor>
        </w:drawing>
      </w:r>
      <w:r>
        <w:rPr>
          <w:color w:val="1F4E79"/>
        </w:rPr>
        <w:t>Verfahren für kleine strategische und temporäre strategische Erweiterungsvorhaben</w:t>
      </w:r>
    </w:p>
    <w:p>
      <w:pPr>
        <w:pStyle w:val="Subtitle"/>
        <w:ind w:hanging="0" w:left="0"/>
        <w:rPr>
          <w:i/>
          <w:i/>
          <w:color w:val="1F4E79"/>
        </w:rPr>
      </w:pPr>
      <w:r>
        <w:rPr>
          <w:color w:val="1F4E79"/>
        </w:rPr>
        <w:t>Muster für die Kurzdarstellung von Instituten</w:t>
      </w:r>
    </w:p>
    <w:p>
      <w:pPr>
        <w:pStyle w:val="Hinweistextblau"/>
        <w:rPr/>
      </w:pPr>
      <w:r>
        <w:rPr/>
        <w:t>Im Verfahren für kleine strategische und temporäre strategische Institutserweiterungen ist es die Aufgabe des Senatsausschusses Strategische Vorhaben (SAS), den strategischen Nutzen für die Leibniz-Gemeinschaft sowie die institutionelle Passfähigkeit zu bewerten. Diese Bewertung erfolgt auf Grundlage der Erweiterungsanträge.</w:t>
      </w:r>
      <w:r>
        <w:rPr>
          <w:rStyle w:val="FootnoteReference"/>
        </w:rPr>
        <w:footnoteReference w:id="2"/>
      </w:r>
      <w:r>
        <w:rPr/>
        <w:t xml:space="preserve"> </w:t>
      </w:r>
    </w:p>
    <w:p>
      <w:pPr>
        <w:pStyle w:val="Hinweistextblau"/>
        <w:rPr/>
      </w:pPr>
      <w:r>
        <w:rPr/>
        <w:t xml:space="preserve">Darüber hinaus soll den Mitgliedern des SAS </w:t>
      </w:r>
      <w:r>
        <w:rPr>
          <w:u w:val="single"/>
        </w:rPr>
        <w:t>als Hintergrundinformation</w:t>
      </w:r>
      <w:r>
        <w:rPr/>
        <w:t xml:space="preserve"> eine Kurzdarstellung derjenigen Institute vorgelegt werden, zu deren Gunsten kleine strategische oder temporäre strategische Erweiterungsvorhaben angemeldet wurden. Die Kurzdarstellung soll durch die Institute erstellt werden und diesem Muster folgen. </w:t>
      </w:r>
    </w:p>
    <w:p>
      <w:pPr>
        <w:pStyle w:val="Erluterungstext"/>
        <w:rPr>
          <w:u w:val="single"/>
        </w:rPr>
      </w:pPr>
      <w:r>
        <w:rPr>
          <w:u w:val="single"/>
        </w:rPr>
        <w:t xml:space="preserve">Bitte beachten Sie die folgenden Hinweise zur Kurzdarstellung: </w:t>
      </w:r>
    </w:p>
    <w:p>
      <w:pPr>
        <w:pStyle w:val="ListParagraph"/>
        <w:numPr>
          <w:ilvl w:val="0"/>
          <w:numId w:val="3"/>
        </w:numPr>
        <w:rPr>
          <w:i/>
          <w:i/>
          <w:color w:val="1F4E79"/>
        </w:rPr>
      </w:pPr>
      <w:r>
        <w:rPr>
          <w:i/>
          <w:color w:val="1F4E79"/>
        </w:rPr>
        <w:t xml:space="preserve">Die Kurzdarstellung soll maximal zwei Seiten umfassen (exklusive der beiden Übersichtstabellen und der Anlage(n). </w:t>
      </w:r>
    </w:p>
    <w:p>
      <w:pPr>
        <w:pStyle w:val="ListParagraph"/>
        <w:numPr>
          <w:ilvl w:val="0"/>
          <w:numId w:val="3"/>
        </w:numPr>
        <w:rPr>
          <w:i/>
          <w:i/>
          <w:color w:val="1F4E79"/>
        </w:rPr>
      </w:pPr>
      <w:r>
        <w:rPr>
          <w:i/>
          <w:color w:val="1F4E79"/>
        </w:rPr>
        <w:t xml:space="preserve">Bitte ergänzen Sie an den </w:t>
      </w:r>
      <w:r>
        <w:rPr>
          <w:i/>
          <w:color w:val="1F4E79"/>
          <w:highlight w:val="yellow"/>
        </w:rPr>
        <w:t>gelb hervorgehobenen</w:t>
      </w:r>
      <w:r>
        <w:rPr>
          <w:i/>
          <w:color w:val="1F4E79"/>
        </w:rPr>
        <w:t xml:space="preserve"> Stellen. Bitte achten Sie bei den Zahlen auf die Konsistenz mit dem Erweiterungsantrag. </w:t>
      </w:r>
    </w:p>
    <w:p>
      <w:pPr>
        <w:pStyle w:val="ListParagraph"/>
        <w:numPr>
          <w:ilvl w:val="0"/>
          <w:numId w:val="3"/>
        </w:numPr>
        <w:rPr>
          <w:i/>
          <w:i/>
          <w:color w:val="1F4E79"/>
        </w:rPr>
      </w:pPr>
      <w:r>
        <w:rPr>
          <w:i/>
          <w:color w:val="1F4E79"/>
        </w:rPr>
        <w:t>Bitte verändern Sie weder Überschriften noch Zwischenüberschriften.</w:t>
      </w:r>
    </w:p>
    <w:p>
      <w:pPr>
        <w:pStyle w:val="ListParagraph"/>
        <w:numPr>
          <w:ilvl w:val="0"/>
          <w:numId w:val="3"/>
        </w:numPr>
        <w:rPr>
          <w:i/>
          <w:i/>
          <w:color w:val="1F4E79"/>
        </w:rPr>
      </w:pPr>
      <w:r>
        <w:rPr>
          <w:i/>
          <w:color w:val="1F4E79"/>
        </w:rPr>
        <w:t>Bitte verändern Sie die Formatierung dieser Vorlage nicht:</w:t>
      </w:r>
    </w:p>
    <w:p>
      <w:pPr>
        <w:pStyle w:val="ListParagraph"/>
        <w:numPr>
          <w:ilvl w:val="1"/>
          <w:numId w:val="3"/>
        </w:numPr>
        <w:ind w:hanging="284" w:left="851"/>
        <w:rPr>
          <w:i/>
          <w:i/>
          <w:color w:val="1F4E79"/>
        </w:rPr>
      </w:pPr>
      <w:r>
        <w:rPr>
          <w:i/>
          <w:color w:val="1F4E79"/>
        </w:rPr>
        <w:t>Formatierung Fließtext: Arial 11pt, Absatz 6pt, Zeilenabstand 1,15pt; Silbentrennung</w:t>
      </w:r>
    </w:p>
    <w:p>
      <w:pPr>
        <w:pStyle w:val="ListParagraph"/>
        <w:numPr>
          <w:ilvl w:val="1"/>
          <w:numId w:val="3"/>
        </w:numPr>
        <w:ind w:hanging="284" w:left="851"/>
        <w:rPr>
          <w:i/>
          <w:i/>
          <w:color w:val="1F4E79"/>
        </w:rPr>
      </w:pPr>
      <w:r>
        <w:rPr>
          <w:i/>
          <w:color w:val="1F4E79"/>
        </w:rPr>
        <w:t>Seitenränder: 2,5 cm links, rechts, oben, unten</w:t>
      </w:r>
    </w:p>
    <w:p>
      <w:pPr>
        <w:pStyle w:val="ListParagraph"/>
        <w:numPr>
          <w:ilvl w:val="0"/>
          <w:numId w:val="3"/>
        </w:numPr>
        <w:rPr>
          <w:i/>
          <w:i/>
          <w:color w:val="1F4E79"/>
        </w:rPr>
      </w:pPr>
      <w:r>
        <w:rPr>
          <w:i/>
          <w:color w:val="1F4E79"/>
        </w:rPr>
        <w:t xml:space="preserve">Bitte führen Sie Akronyme von Institutsnamen, Forschungsprojekten etc. bei der ersten Nennung grundsätzlich aus. </w:t>
        <w:tab/>
      </w:r>
    </w:p>
    <w:p>
      <w:pPr>
        <w:pStyle w:val="ListParagraph"/>
        <w:numPr>
          <w:ilvl w:val="0"/>
          <w:numId w:val="3"/>
        </w:numPr>
        <w:rPr>
          <w:i/>
          <w:i/>
          <w:color w:val="1F4E79"/>
        </w:rPr>
      </w:pPr>
      <w:r>
        <w:rPr>
          <w:i/>
          <w:color w:val="1F4E79"/>
        </w:rPr>
        <w:t xml:space="preserve">Über Fußnoten kann auf weiterführende Informationen mit Links verwiesen werden. </w:t>
      </w:r>
    </w:p>
    <w:p>
      <w:pPr>
        <w:pStyle w:val="ListParagraph"/>
        <w:numPr>
          <w:ilvl w:val="0"/>
          <w:numId w:val="3"/>
        </w:numPr>
        <w:rPr>
          <w:i/>
          <w:i/>
          <w:color w:val="1F4E79"/>
        </w:rPr>
      </w:pPr>
      <w:r>
        <w:rPr>
          <w:i/>
          <w:color w:val="1F4E79"/>
        </w:rPr>
        <w:t>Bitte stellen Sie Beträge im Text grundsätzlich in Tausend Euro dar: X.XXX T€</w:t>
      </w:r>
    </w:p>
    <w:p>
      <w:pPr>
        <w:pStyle w:val="ListParagraph"/>
        <w:numPr>
          <w:ilvl w:val="0"/>
          <w:numId w:val="3"/>
        </w:numPr>
        <w:rPr>
          <w:i/>
          <w:i/>
          <w:color w:val="1F4E79"/>
        </w:rPr>
      </w:pPr>
      <w:r>
        <w:rPr>
          <w:i/>
          <w:color w:val="1F4E79"/>
        </w:rPr>
        <w:t xml:space="preserve">Bitte stellen Sie Daten im Text grundsätzlich wie folgt dar: 1. Januar 2020 (d. h. z. B. </w:t>
      </w:r>
      <w:r>
        <w:rPr>
          <w:i/>
          <w:color w:val="1F4E79"/>
          <w:u w:val="single"/>
        </w:rPr>
        <w:t>nicht</w:t>
      </w:r>
      <w:r>
        <w:rPr>
          <w:i/>
          <w:color w:val="1F4E79"/>
        </w:rPr>
        <w:t xml:space="preserve"> 01.01.20 oder 1.1.2020 o. ä.). </w:t>
      </w:r>
    </w:p>
    <w:p>
      <w:pPr>
        <w:pStyle w:val="ListParagraph"/>
        <w:numPr>
          <w:ilvl w:val="0"/>
          <w:numId w:val="3"/>
        </w:numPr>
        <w:rPr>
          <w:i/>
          <w:i/>
          <w:color w:val="1F4E79"/>
        </w:rPr>
      </w:pPr>
      <w:r>
        <w:rPr>
          <w:i/>
          <w:color w:val="1F4E79"/>
        </w:rPr>
        <w:t xml:space="preserve">Bitte übermitteln Sie die Kurzdarstellung im Word-Format. </w:t>
      </w:r>
    </w:p>
    <w:p>
      <w:pPr>
        <w:pStyle w:val="ListParagraph"/>
        <w:numPr>
          <w:ilvl w:val="0"/>
          <w:numId w:val="3"/>
        </w:numPr>
        <w:rPr>
          <w:i/>
          <w:i/>
          <w:color w:val="1F4E79"/>
        </w:rPr>
      </w:pPr>
      <w:r>
        <w:rPr>
          <w:i/>
          <w:color w:val="1F4E79"/>
        </w:rPr>
        <w:t>Bitte entfernen Sie alle blauen Hinweistexte vor der Einreichung der Kurzdarstellung.</w:t>
      </w:r>
    </w:p>
    <w:p>
      <w:pPr>
        <w:pStyle w:val="ListParagraph"/>
        <w:numPr>
          <w:ilvl w:val="0"/>
          <w:numId w:val="3"/>
        </w:numPr>
        <w:rPr>
          <w:i/>
          <w:i/>
          <w:color w:val="1F4E79"/>
        </w:rPr>
      </w:pPr>
      <w:r>
        <w:rPr>
          <w:i/>
          <w:color w:val="1F4E79"/>
        </w:rPr>
        <w:t xml:space="preserve">Bitte fügen Sie einen aktuellen Organisationsplan und, sofern organisatorische Veränderungen durch das Erweiterungsvorhaben geplant sind, den vorgesehenen Organisationsplan in Abschnitt „4. Anlagen“ ein. Bitte achten Sie dabei auf Lesbarkeit (ggf. Anlage(n) im Querformat). </w:t>
      </w:r>
      <w:r>
        <w:br w:type="page"/>
      </w:r>
    </w:p>
    <w:p>
      <w:pPr>
        <w:pStyle w:val="Title"/>
        <w:spacing w:before="0" w:after="120"/>
        <w:ind w:hanging="0" w:left="0"/>
        <w:rPr/>
      </w:pPr>
      <w:r>
        <w:rPr/>
        <w:t>Verfahren für kleine strategische und temporäre strategische Erweiterungsvorhaben</w:t>
      </w:r>
    </w:p>
    <w:p>
      <w:pPr>
        <w:pStyle w:val="Subtitle"/>
        <w:ind w:hanging="0" w:left="0"/>
        <w:rPr/>
      </w:pPr>
      <w:r>
        <w:rPr/>
        <w:t xml:space="preserve">Kurzdarstellung </w:t>
      </w:r>
    </w:p>
    <w:p>
      <w:pPr>
        <w:pStyle w:val="Normal"/>
        <w:rPr>
          <w:b/>
          <w:sz w:val="24"/>
        </w:rPr>
      </w:pPr>
      <w:sdt>
        <w:sdtPr>
          <w:placeholder>
            <w:docPart w:val="B1C544E6A3BB4A7EBC46099A9F439513"/>
          </w:placeholder>
          <w:alias w:val="Einrichtungen"/>
          <w:tag w:val="Einrichtungen (10/2024)"/>
          <w:id w:val="-1775469423"/>
          <w:showingPlcHdr/>
          <w:dropDownList>
            <w:listItem w:displayText="ARL – Akademie für Raumentwicklung in der Leibniz-Gemeinschaft" w:value="ARL – Akademie für Raumentwicklung in der Leibniz-Gemeinschaft"/>
            <w:listItem w:displayText="Bernhard-Nocht-Institut für Tropenmedizin (BNITM)" w:value="Bernhard-Nocht-Institut für Tropenmedizin (BNITM)"/>
            <w:listItem w:displayText="Deutsches Bergbau-Museum Bochum – Leibniz-Forschungsmuseum für Georessourcen (DBM)" w:value="Deutsches Bergbau-Museum Bochum – Leibniz-Forschungsmuseum für Georessourcen (DBM)"/>
            <w:listItem w:displayText="Deutsches Diabetes-Zentrum (DDZ) – Leibniz-Zentrum für Diabetes-Forschung an der Heinrich-Heine-Universität Düsseldorf" w:value="Deutsches Diabetes-Zentrum (DDZ) – Leibniz-Zentrum für Diabetes-Forschung an der Heinrich-Heine-Universität Düsseldorf"/>
            <w:listItem w:displayText="Deutsches Institut für Ernährungsforschung Potsdam-Rehbrücke (DIfE)" w:value="Deutsches Institut für Ernährungsforschung Potsdam-Rehbrücke (DIfE)"/>
            <w:listItem w:displayText="Deutsches Institut für Erwachsenenbildung – Leibniz-Zentrum für Lebenslanges Lernen e.V. (DIE)" w:value="Deutsches Institut für Erwachsenenbildung – Leibniz-Zentrum für Lebenslanges Lernen e.V. (DIE)"/>
            <w:listItem w:displayText="Deutsches Institut für Wirtschaftsforschung e.V. (DIW Berlin)" w:value="Deutsches Institut für Wirtschaftsforschung e.V. (DIW Berlin)"/>
            <w:listItem w:displayText="Deutsches Museum von Meisterwerken der Naturwissenschaft und Technik (DM)" w:value="Deutsches Museum von Meisterwerken der Naturwissenschaft und Technik (DM)"/>
            <w:listItem w:displayText="Deutsches Primatenzentrum GmbH – Leibniz-Institut für Primatenforschung (DPZ)" w:value="Deutsches Primatenzentrum GmbH – Leibniz-Institut für Primatenforschung (DPZ)"/>
            <w:listItem w:displayText="Deutsches Rheuma-Forschungszentrum Berlin, Ein Institut der Leibniz-Gemeinschaft" w:value="Deutsches Rheuma-Forschungszentrum Berlin, Ein Institut der Leibniz-Gemeinschaft"/>
            <w:listItem w:displayText="Deutsches Schifffahrtsmuseum – Leibniz-Institut für Maritime Geschichte (DSM)" w:value="Deutsches Schifffahrtsmuseum – Leibniz-Institut für Maritime Geschichte (DSM)"/>
            <w:listItem w:displayText="DIPF | Leibniz-Institut für Bildungsforschung und Bildungsinformation" w:value="DIPF | Leibniz-Institut für Bildungsforschung und Bildungsinformation"/>
            <w:listItem w:displayText="DWI – Leibniz-Institut für Interaktive Materialien e.V." w:value="DWI – Leibniz-Institut für Interaktive Materialien e.V."/>
            <w:listItem w:displayText="Ferdinand-Braun-Institut gGmbH, Leibniz-Institut für Höchstfrequenztechnik (FBH)" w:value="Ferdinand-Braun-Institut gGmbH, Leibniz-Institut für Höchstfrequenztechnik (FBH)"/>
            <w:listItem w:displayText="FIZ Karlsruhe – Leibniz-Institut für Informationsinfrastruktur GmbH" w:value="FIZ Karlsruhe – Leibniz-Institut für Informationsinfrastruktur GmbH"/>
            <w:listItem w:displayText="Forschungszentrum Borstel – Leibniz Lungenzentrum (FZB)" w:value="Forschungszentrum Borstel – Leibniz Lungenzentrum (FZB)"/>
            <w:listItem w:displayText="German Institute for Global and Area Studies (GIGA) | Leibniz-Institut für Globale und Regionale Studien (GIGA)" w:value="German Institute for Global and Area Studies (GIGA) | Leibniz-Institut für Globale und Regionale Studien (GIGA)"/>
            <w:listItem w:displayText="Germanisches Nationalmuseum – Leibniz-Forschungsmuseum für Kulturgeschichte (GNM)" w:value="Germanisches Nationalmuseum – Leibniz-Forschungsmuseum für Kulturgeschichte (GNM)"/>
            <w:listItem w:displayText="GESIS – Leibniz-Institut für Sozialwissenschaften e.V." w:value="GESIS – Leibniz-Institut für Sozialwissenschaften e.V."/>
            <w:listItem w:displayText="Herder-Institut für historische Ostmitteleuropaforschung – Institut der Leibniz-Gemeinschaft (HI)" w:value="Herder-Institut für historische Ostmitteleuropaforschung – Institut der Leibniz-Gemeinschaft (HI)"/>
            <w:listItem w:displayText="ifo Institut – Leibniz-Institut für Wirtschaftsforschung an der Universität München e.V." w:value="ifo Institut – Leibniz-Institut für Wirtschaftsforschung an der Universität München e.V."/>
            <w:listItem w:displayText="IHP GmbH – Leibniz-Institut für innovative Mikroelektronik" w:value="IHP GmbH – Leibniz-Institut für innovative Mikroelektronik"/>
            <w:listItem w:displayText="INM – Leibniz-Institut für Neue Materialien gGmbH" w:value="INM – Leibniz-Institut für Neue Materialien gGmbH"/>
            <w:listItem w:displayText="Institut für Zeitgeschichte München - Berlin (IfZ)" w:value="Institut für Zeitgeschichte München - Berlin (IfZ)"/>
            <w:listItem w:displayText="IPN – Leibniz-Institut für die Pädagogik der Naturwissenschaften und Mathematik" w:value="IPN – Leibniz-Institut für die Pädagogik der Naturwissenschaften und Mathematik"/>
            <w:listItem w:displayText="IUF – Leibniz-Institut für umweltmedizinische Forschung GmbH" w:value="IUF – Leibniz-Institut für umweltmedizinische Forschung GmbH"/>
            <w:listItem w:displayText="Kiel Institut für Weltwirtschaft – Leibniz-Zentrum zur Erforschung globaler ökonomischer Herausforderungen (IfW)" w:value="Kiel Institut für Weltwirtschaft – Leibniz-Zentrum zur Erforschung globaler ökonomischer Herausforderungen (IfW)"/>
            <w:listItem w:displayText="Leibniz-Forschungsinstitut für Molekulare Pharmakologie im Forschungsverbund Berlin e.V. (FMP)" w:value="Leibniz-Forschungsinstitut für Molekulare Pharmakologie im Forschungsverbund Berlin e.V. (FMP)"/>
            <w:listItem w:displayText="Leibniz-Institut DSMZ-Deutsche Sammlung von Mikroorganismen und Zellkulturen GmbH" w:value="Leibniz-Institut DSMZ-Deutsche Sammlung von Mikroorganismen und Zellkulturen GmbH"/>
            <w:listItem w:displayText="Leibniz-Institut für Agrarentwicklung in Transformationsökonomien (IAMO)" w:value="Leibniz-Institut für Agrarentwicklung in Transformationsökonomien (IAMO)"/>
            <w:listItem w:displayText="Leibniz-Institut für Agrartechnik und Bioökonomie e.V. (ATB)" w:value="Leibniz-Institut für Agrartechnik und Bioökonomie e.V. (ATB)"/>
            <w:listItem w:displayText="Leibniz-Institut für Alternsforschung – Fritz-Lipmann-Institut e.V. (FLI)" w:value="Leibniz-Institut für Alternsforschung – Fritz-Lipmann-Institut e.V. (FLI)"/>
            <w:listItem w:displayText="Leibniz-Institut für Analytische Wissenschaften - ISAS - e.V." w:value="Leibniz-Institut für Analytische Wissenschaften - ISAS - e.V."/>
            <w:listItem w:displayText="Leibniz-Institut für Arbeitsforschung an der TU Dortmund (IfADo)" w:value="Leibniz-Institut für Arbeitsforschung an der TU Dortmund (IfADo)"/>
            <w:listItem w:displayText="Leibniz-Institut für Astrophysik Potsdam (AIP)" w:value="Leibniz-Institut für Astrophysik Potsdam (AIP)"/>
            <w:listItem w:displayText="Leibniz-Institut für Atmosphärenphysik e.V. an der Universität Rostock (IAP)" w:value="Leibniz-Institut für Atmosphärenphysik e.V. an der Universität Rostock (IAP)"/>
            <w:listItem w:displayText="Leibniz-Institut für Bildungsmedien | Georg-Eckert-Institut (GEI)" w:value="Leibniz-Institut für Bildungsmedien | Georg-Eckert-Institut (GEI)"/>
            <w:listItem w:displayText="Leibniz-Institut für Bildungsverläufe (LIfBi)" w:value="Leibniz-Institut für Bildungsverläufe (LIfBi)"/>
            <w:listItem w:displayText="Leibniz-Institut für Deutsche Sprache (IDS)" w:value="Leibniz-Institut für Deutsche Sprache (IDS)"/>
            <w:listItem w:displayText="Leibniz-Institut für Europäische Geschichte (IEG)" w:value="Leibniz-Institut für Europäische Geschichte (IEG)"/>
            <w:listItem w:displayText="Leibniz-Institut für Festkörper- und Werkstoffforschung Dresden e.V. (IFW)" w:value="Leibniz-Institut für Festkörper- und Werkstoffforschung Dresden e.V. (IFW)"/>
            <w:listItem w:displayText="Leibniz-Institut für Finanzmarktforschung SAFE e.V. – Sustainable Architecture for Finance in Europe" w:value="Leibniz-Institut für Finanzmarktforschung SAFE e.V. – Sustainable Architecture for Finance in Europe"/>
            <w:listItem w:displayText="Leibniz-Institut für Gartenbauwissenschaften (IGZ) e.V." w:value="Leibniz-Institut für Gartenbauwissenschaften (IGZ) e.V."/>
            <w:listItem w:displayText="Leibniz-Institut für Geschichte und Kultur des östlichen Europa (GWZO)" w:value="Leibniz-Institut für Geschichte und Kultur des östlichen Europa (GWZO)"/>
            <w:listItem w:displayText="Leibniz-Institut für Gewässerökologie und Binnenfischerei (IGB) im Forschungsverbund Berlin e.V." w:value="Leibniz-Institut für Gewässerökologie und Binnenfischerei (IGB) im Forschungsverbund Berlin e.V."/>
            <w:listItem w:displayText="Leibniz-Institut für Immuntherapie (LIT)" w:value="Leibniz-Institut für Immuntherapie (LIT)"/>
            <w:listItem w:displayText="Leibniz-Institut für jüdische Geschichte und Kultur – Simon Dubnow e.V. (DI)" w:value="Leibniz-Institut für jüdische Geschichte und Kultur – Simon Dubnow e.V. (DI)"/>
            <w:listItem w:displayText="Leibniz-Institut für Katalyse e.V. (LIKAT Rostock)" w:value="Leibniz-Institut für Katalyse e.V. (LIKAT Rostock)"/>
            <w:listItem w:displayText="Leibniz-Institut für Kristallzüchtung (IKZ) im Forschungsverbund Berlin e.V." w:value="Leibniz-Institut für Kristallzüchtung (IKZ) im Forschungsverbund Berlin e.V."/>
            <w:listItem w:displayText="Leibniz-Institut für Länderkunde e.V. (IfL)" w:value="Leibniz-Institut für Länderkunde e.V. (IfL)"/>
            <w:listItem w:displayText="Leibniz-Institut für Lebensmittel-Systembiologie an der Technischen Universität München (LSB)" w:value="Leibniz-Institut für Lebensmittel-Systembiologie an der Technischen Universität München (LSB)"/>
            <w:listItem w:displayText="Leibniz-Institut für Medienforschung | Hans-Bredow-Institut (HBI)" w:value="Leibniz-Institut für Medienforschung | Hans-Bredow-Institut (HBI)"/>
            <w:listItem w:displayText="Leibniz-Institut für Naturstoff-Forschung und Infektionsbiologie e.V. – Hans-Knöll-Institut (HKI)" w:value="Leibniz-Institut für Naturstoff-Forschung und Infektionsbiologie e.V. – Hans-Knöll-Institut (HKI)"/>
            <w:listItem w:displayText="Leibniz-Institut für Neurobiologie (LIN)" w:value="Leibniz-Institut für Neurobiologie (LIN)"/>
            <w:listItem w:displayText="Leibniz-Institut für Oberflächenmodifizierung e.V. (IOM)" w:value="Leibniz-Institut für Oberflächenmodifizierung e.V. (IOM)"/>
            <w:listItem w:displayText="Leibniz-Institut für ökologische Raumentwicklung e.V. (IÖR)" w:value="Leibniz-Institut für ökologische Raumentwicklung e.V. (IÖR)"/>
            <w:listItem w:displayText="Leibniz-Institut für Ost- und Südosteuropaforschung (IOS)" w:value="Leibniz-Institut für Ost- und Südosteuropaforschung (IOS)"/>
            <w:listItem w:displayText="Leibniz-Institut für Ostseeforschung Warnemünde (IOW)" w:value="Leibniz-Institut für Ostseeforschung Warnemünde (IOW)"/>
            <w:listItem w:displayText="Leibniz-Institut für Pflanzenbiochemie (IPB)" w:value="Leibniz-Institut für Pflanzenbiochemie (IPB)"/>
            <w:listItem w:displayText="Leibniz-Institut für Pflanzengenetik und Kulturpflanzenforschung (IPK)" w:value="Leibniz-Institut für Pflanzengenetik und Kulturpflanzenforschung (IPK)"/>
            <w:listItem w:displayText="Leibniz-Institut für Photonische Technologien e.V. (IPHT)" w:value="Leibniz-Institut für Photonische Technologien e.V. (IPHT)"/>
            <w:listItem w:displayText="Leibniz-Institut für Plasmaforschung und Technologie e.V. (INP)" w:value="Leibniz-Institut für Plasmaforschung und Technologie e.V. (INP)"/>
            <w:listItem w:displayText="Leibniz-Institut für Polymerforschung Dresden e.V. (IPF)" w:value="Leibniz-Institut für Polymerforschung Dresden e.V. (IPF)"/>
            <w:listItem w:displayText="Leibniz-Institut für Präventionsforschung und Epidemiologie – BIPS GmbH" w:value="Leibniz-Institut für Präventionsforschung und Epidemiologie – BIPS GmbH"/>
            <w:listItem w:displayText="Leibniz-Institut für Psychologie (ZPID)" w:value="Leibniz-Institut für Psychologie (ZPID)"/>
            <w:listItem w:displayText="Leibniz-Institut für Raumbezogene Sozialforschung (IRS) e.V." w:value="Leibniz-Institut für Raumbezogene Sozialforschung (IRS) e.V."/>
            <w:listItem w:displayText="Leibniz-Institut für Resilienzforschung (LIR) gGmbH" w:value="Leibniz-Institut für Resilienzforschung (LIR) gGmbH"/>
            <w:listItem w:displayText="Leibniz-Institut für Troposphärenforschung e.V. (TROPOS)" w:value="Leibniz-Institut für Troposphärenforschung e.V. (TROPOS)"/>
            <w:listItem w:displayText="Leibniz-Institut für Verbundwerkstoffe GmbH (IVW)" w:value="Leibniz-Institut für Verbundwerkstoffe GmbH (IVW)"/>
            <w:listItem w:displayText="Leibniz-Institut für Virologie (LIV)" w:value="Leibniz-Institut für Virologie (LIV)"/>
            <w:listItem w:displayText="Leibniz-Institut für Werkstofforientierte Technologien - IWT" w:value="Leibniz-Institut für Werkstofforientierte Technologien - IWT"/>
            <w:listItem w:displayText="Leibniz-Institut für Wirtschaftsforschung Halle (IWH)" w:value="Leibniz-Institut für Wirtschaftsforschung Halle (IWH)"/>
            <w:listItem w:displayText="Leibniz-Institut für Wissensmedien (IWM)" w:value="Leibniz-Institut für Wissensmedien (IWM)"/>
            <w:listItem w:displayText="Leibniz-Institut für Zoo- und Wildtierforschung (IZW) im Forschungsverbund Berlin e.V." w:value="Leibniz-Institut für Zoo- und Wildtierforschung (IZW) im Forschungsverbund Berlin e.V."/>
            <w:listItem w:displayText="Leibniz-Institut zur Analyse des Biodiversitätswandels (LIB)" w:value="Leibniz-Institut zur Analyse des Biodiversitätswandels (LIB)"/>
            <w:listItem w:displayText="Leibniz-Zentrum Allgemeine Sprachwissenschaft (ZAS)" w:value="Leibniz-Zentrum Allgemeine Sprachwissenschaft (ZAS)"/>
            <w:listItem w:displayText="Leibniz-Zentrum für Agrarlandschaftsforschung (ZALF) e.V." w:value="Leibniz-Zentrum für Agrarlandschaftsforschung (ZALF) e.V."/>
            <w:listItem w:displayText="Leibniz-Zentrum für Archäologie (LEIZA)" w:value="Leibniz-Zentrum für Archäologie (LEIZA)"/>
            <w:listItem w:displayText="Leibniz-Zentrum für Literatur- und Kulturforschung Berlin (ZfL)" w:value="Leibniz-Zentrum für Literatur- und Kulturforschung Berlin (ZfL)"/>
            <w:listItem w:displayText="Leibniz-Zentrum für Marine Tropenforschung (ZMT) GmbH" w:value="Leibniz-Zentrum für Marine Tropenforschung (ZMT) GmbH"/>
            <w:listItem w:displayText="Leibniz-Zentrum für Zeithistorische Forschung Potsdam (ZZF) e.V." w:value="Leibniz-Zentrum für Zeithistorische Forschung Potsdam (ZZF) e.V."/>
            <w:listItem w:displayText="Leibniz-Zentrum Moderner Orient (ZMO)" w:value="Leibniz-Zentrum Moderner Orient (ZMO)"/>
            <w:listItem w:displayText="Mathematisches Forschungsinstitut Oberwolfach gGmbH (MFO)" w:value="Mathematisches Forschungsinstitut Oberwolfach gGmbH (MFO)"/>
            <w:listItem w:displayText="Max-Born-Institut für Nichtlineare Optik und Kurzzeitspektroskopie (MBI) im Forschungsverbund Berlin e.V." w:value="Max-Born-Institut für Nichtlineare Optik und Kurzzeitspektroskopie (MBI) im Forschungsverbund Berlin e.V."/>
            <w:listItem w:displayText="Museum für Naturkunde – Leibniz-Institut für Evolutions- und Biodiversitätsforschung (MfN)" w:value="Museum für Naturkunde – Leibniz-Institut für Evolutions- und Biodiversitätsforschung (MfN)"/>
            <w:listItem w:displayText="Paul-Drude-Institut für Festkörperelektronik – Leibniz-Institut im Forschungsverbund Berlin e.V. (PDI)" w:value="Paul-Drude-Institut für Festkörperelektronik – Leibniz-Institut im Forschungsverbund Berlin e.V. (PDI)"/>
            <w:listItem w:displayText="Potsdam-Institut für Klimafolgenforschung (PIK) e.V." w:value="Potsdam-Institut für Klimafolgenforschung (PIK) e.V."/>
            <w:listItem w:displayText="PRIF – Leibniz-Institut für Friedens- und Konfliktforschung" w:value="PRIF – Leibniz-Institut für Friedens- und Konfliktforschung"/>
            <w:listItem w:displayText="RWI – Leibniz-Institut für Wirtschaftsforschung e.V." w:value="RWI – Leibniz-Institut für Wirtschaftsforschung e.V."/>
            <w:listItem w:displayText="Schloss Dagstuhl – Leibniz-Zentrum für Informatik GmbH" w:value="Schloss Dagstuhl – Leibniz-Zentrum für Informatik GmbH"/>
            <w:listItem w:displayText="Senckenberg Gesellschaft für Naturforschung  –  Leibniz Institution for Biodiversity and Earth System Research (SGN)" w:value="Senckenberg Gesellschaft für Naturforschung  –  Leibniz Institution for Biodiversity and Earth System Research (SGN)"/>
            <w:listItem w:displayText="Technische Informationsbibliothek (TIB) – Leibniz-Informationszentrum Technik und Naturwissenschaften" w:value="Technische Informationsbibliothek (TIB) – Leibniz-Informationszentrum Technik und Naturwissenschaften"/>
            <w:listItem w:displayText="Weierstraß-Institut für Angewandte Analysis und Stochastik (WIAS), Leibniz-Institut im Forschungsverbund Berlin e.V." w:value="Weierstraß-Institut für Angewandte Analysis und Stochastik (WIAS), Leibniz-Institut im Forschungsverbund Berlin e.V."/>
            <w:listItem w:displayText="Wissenschaftszentrum Berlin für Sozialforschung gGmbH (WZB)" w:value="Wissenschaftszentrum Berlin für Sozialforschung gGmbH (WZB)"/>
            <w:listItem w:displayText="ZBW – Leibniz-Informationszentrum Wirtschaft" w:value="ZBW – Leibniz-Informationszentrum Wirtschaft"/>
            <w:listItem w:displayText="ZEW – Leibniz-Zentrum für Europäische Wirtschaftsforschung GmbH Mannheim" w:value="ZEW – Leibniz-Zentrum für Europäische Wirtschaftsforschung GmbH Mannheim"/>
          </w:dropDownList>
        </w:sdtPr>
        <w:sdtContent>
          <w:r>
            <w:rPr>
              <w:b/>
              <w:sz w:val="24"/>
              <w:highlight w:val="yellow"/>
            </w:rPr>
          </w:r>
          <w:r>
            <w:rPr>
              <w:b/>
              <w:sz w:val="24"/>
              <w:highlight w:val="yellow"/>
            </w:rPr>
            <w:t>Wählen Sie ein Element aus.</w:t>
          </w:r>
        </w:sdtContent>
      </w:sdt>
    </w:p>
    <w:p>
      <w:pPr>
        <w:pStyle w:val="Normal"/>
        <w:rPr/>
      </w:pPr>
      <w:r>
        <w:rPr/>
        <w:t>11. Dezember 2026</w:t>
      </w:r>
    </w:p>
    <w:p>
      <w:pPr>
        <w:pStyle w:val="Normal"/>
        <w:rPr>
          <w:b/>
        </w:rPr>
      </w:pPr>
      <w:r>
        <w:rPr/>
        <w:t xml:space="preserve">Die folgende Kurzdarstellung wurde durch </w:t>
      </w:r>
      <w:r>
        <w:rPr>
          <w:highlight w:val="yellow"/>
        </w:rPr>
        <w:t>das</w:t>
      </w:r>
      <w:r>
        <w:rPr/>
        <w:t xml:space="preserve"> </w:t>
      </w:r>
      <w:sdt>
        <w:sdtPr>
          <w:placeholder>
            <w:docPart w:val="BE0F689534A9435290901C1737E76275"/>
          </w:placeholder>
          <w:alias w:val="Einrichtungen"/>
          <w:tag w:val="Einrichtungen (10/2024)"/>
          <w:id w:val="-2133397035"/>
          <w:dropDownList>
            <w:listItem w:displayText="ARL – Akademie für Raumentwicklung in der Leibniz-Gemeinschaft" w:value="ARL – Akademie für Raumentwicklung in der Leibniz-Gemeinschaft"/>
            <w:listItem w:displayText="Bernhard-Nocht-Institut für Tropenmedizin (BNITM)" w:value="Bernhard-Nocht-Institut für Tropenmedizin (BNITM)"/>
            <w:listItem w:displayText="Deutsches Bergbau-Museum Bochum – Leibniz-Forschungsmuseum für Georessourcen (DBM)" w:value="Deutsches Bergbau-Museum Bochum – Leibniz-Forschungsmuseum für Georessourcen (DBM)"/>
            <w:listItem w:displayText="Deutsches Diabetes-Zentrum (DDZ) – Leibniz-Zentrum für Diabetes-Forschung an der Heinrich-Heine-Universität Düsseldorf" w:value="Deutsches Diabetes-Zentrum (DDZ) – Leibniz-Zentrum für Diabetes-Forschung an der Heinrich-Heine-Universität Düsseldorf"/>
            <w:listItem w:displayText="Deutsches Institut für Ernährungsforschung Potsdam-Rehbrücke (DIfE)" w:value="Deutsches Institut für Ernährungsforschung Potsdam-Rehbrücke (DIfE)"/>
            <w:listItem w:displayText="Deutsches Institut für Erwachsenenbildung – Leibniz-Zentrum für Lebenslanges Lernen e.V. (DIE)" w:value="Deutsches Institut für Erwachsenenbildung – Leibniz-Zentrum für Lebenslanges Lernen e.V. (DIE)"/>
            <w:listItem w:displayText="Deutsches Institut für Wirtschaftsforschung e.V. (DIW Berlin)" w:value="Deutsches Institut für Wirtschaftsforschung e.V. (DIW Berlin)"/>
            <w:listItem w:displayText="Deutsches Museum von Meisterwerken der Naturwissenschaft und Technik (DM)" w:value="Deutsches Museum von Meisterwerken der Naturwissenschaft und Technik (DM)"/>
            <w:listItem w:displayText="Deutsches Primatenzentrum GmbH – Leibniz-Institut für Primatenforschung (DPZ)" w:value="Deutsches Primatenzentrum GmbH – Leibniz-Institut für Primatenforschung (DPZ)"/>
            <w:listItem w:displayText="Deutsches Rheuma-Forschungszentrum Berlin, Ein Institut der Leibniz-Gemeinschaft" w:value="Deutsches Rheuma-Forschungszentrum Berlin, Ein Institut der Leibniz-Gemeinschaft"/>
            <w:listItem w:displayText="Deutsches Schifffahrtsmuseum – Leibniz-Institut für Maritime Geschichte (DSM)" w:value="Deutsches Schifffahrtsmuseum – Leibniz-Institut für Maritime Geschichte (DSM)"/>
            <w:listItem w:displayText="DIPF | Leibniz-Institut für Bildungsforschung und Bildungsinformation" w:value="DIPF | Leibniz-Institut für Bildungsforschung und Bildungsinformation"/>
            <w:listItem w:displayText="DWI – Leibniz-Institut für Interaktive Materialien e.V." w:value="DWI – Leibniz-Institut für Interaktive Materialien e.V."/>
            <w:listItem w:displayText="Ferdinand-Braun-Institut gGmbH, Leibniz-Institut für Höchstfrequenztechnik (FBH)" w:value="Ferdinand-Braun-Institut gGmbH, Leibniz-Institut für Höchstfrequenztechnik (FBH)"/>
            <w:listItem w:displayText="FIZ Karlsruhe – Leibniz-Institut für Informationsinfrastruktur GmbH" w:value="FIZ Karlsruhe – Leibniz-Institut für Informationsinfrastruktur GmbH"/>
            <w:listItem w:displayText="Forschungszentrum Borstel – Leibniz Lungenzentrum (FZB)" w:value="Forschungszentrum Borstel – Leibniz Lungenzentrum (FZB)"/>
            <w:listItem w:displayText="German Institute for Global and Area Studies (GIGA) | Leibniz-Institut für Globale und Regionale Studien (GIGA)" w:value="German Institute for Global and Area Studies (GIGA) | Leibniz-Institut für Globale und Regionale Studien (GIGA)"/>
            <w:listItem w:displayText="Germanisches Nationalmuseum – Leibniz-Forschungsmuseum für Kulturgeschichte (GNM)" w:value="Germanisches Nationalmuseum – Leibniz-Forschungsmuseum für Kulturgeschichte (GNM)"/>
            <w:listItem w:displayText="GESIS – Leibniz-Institut für Sozialwissenschaften e.V." w:value="GESIS – Leibniz-Institut für Sozialwissenschaften e.V."/>
            <w:listItem w:displayText="Herder-Institut für historische Ostmitteleuropaforschung – Institut der Leibniz-Gemeinschaft (HI)" w:value="Herder-Institut für historische Ostmitteleuropaforschung – Institut der Leibniz-Gemeinschaft (HI)"/>
            <w:listItem w:displayText="ifo Institut – Leibniz-Institut für Wirtschaftsforschung an der Universität München e.V." w:value="ifo Institut – Leibniz-Institut für Wirtschaftsforschung an der Universität München e.V."/>
            <w:listItem w:displayText="IHP GmbH – Leibniz-Institut für innovative Mikroelektronik" w:value="IHP GmbH – Leibniz-Institut für innovative Mikroelektronik"/>
            <w:listItem w:displayText="INM – Leibniz-Institut für Neue Materialien gGmbH" w:value="INM – Leibniz-Institut für Neue Materialien gGmbH"/>
            <w:listItem w:displayText="Institut für Zeitgeschichte München - Berlin (IfZ)" w:value="Institut für Zeitgeschichte München - Berlin (IfZ)"/>
            <w:listItem w:displayText="IPN – Leibniz-Institut für die Pädagogik der Naturwissenschaften und Mathematik" w:value="IPN – Leibniz-Institut für die Pädagogik der Naturwissenschaften und Mathematik"/>
            <w:listItem w:displayText="IUF – Leibniz-Institut für umweltmedizinische Forschung GmbH" w:value="IUF – Leibniz-Institut für umweltmedizinische Forschung GmbH"/>
            <w:listItem w:displayText="Kiel Institut für Weltwirtschaft – Leibniz-Zentrum zur Erforschung globaler ökonomischer Herausforderungen (IfW)" w:value="Kiel Institut für Weltwirtschaft – Leibniz-Zentrum zur Erforschung globaler ökonomischer Herausforderungen (IfW)"/>
            <w:listItem w:displayText="Leibniz-Forschungsinstitut für Molekulare Pharmakologie im Forschungsverbund Berlin e.V. (FMP)" w:value="Leibniz-Forschungsinstitut für Molekulare Pharmakologie im Forschungsverbund Berlin e.V. (FMP)"/>
            <w:listItem w:displayText="Leibniz-Institut DSMZ-Deutsche Sammlung von Mikroorganismen und Zellkulturen GmbH" w:value="Leibniz-Institut DSMZ-Deutsche Sammlung von Mikroorganismen und Zellkulturen GmbH"/>
            <w:listItem w:displayText="Leibniz-Institut für Agrarentwicklung in Transformationsökonomien (IAMO)" w:value="Leibniz-Institut für Agrarentwicklung in Transformationsökonomien (IAMO)"/>
            <w:listItem w:displayText="Leibniz-Institut für Agrartechnik und Bioökonomie e.V. (ATB)" w:value="Leibniz-Institut für Agrartechnik und Bioökonomie e.V. (ATB)"/>
            <w:listItem w:displayText="Leibniz-Institut für Alternsforschung – Fritz-Lipmann-Institut e.V. (FLI)" w:value="Leibniz-Institut für Alternsforschung – Fritz-Lipmann-Institut e.V. (FLI)"/>
            <w:listItem w:displayText="Leibniz-Institut für Analytische Wissenschaften - ISAS - e.V." w:value="Leibniz-Institut für Analytische Wissenschaften - ISAS - e.V."/>
            <w:listItem w:displayText="Leibniz-Institut für Arbeitsforschung an der TU Dortmund (IfADo)" w:value="Leibniz-Institut für Arbeitsforschung an der TU Dortmund (IfADo)"/>
            <w:listItem w:displayText="Leibniz-Institut für Astrophysik Potsdam (AIP)" w:value="Leibniz-Institut für Astrophysik Potsdam (AIP)"/>
            <w:listItem w:displayText="Leibniz-Institut für Atmosphärenphysik e.V. an der Universität Rostock (IAP)" w:value="Leibniz-Institut für Atmosphärenphysik e.V. an der Universität Rostock (IAP)"/>
            <w:listItem w:displayText="Leibniz-Institut für Bildungsmedien | Georg-Eckert-Institut (GEI)" w:value="Leibniz-Institut für Bildungsmedien | Georg-Eckert-Institut (GEI)"/>
            <w:listItem w:displayText="Leibniz-Institut für Bildungsverläufe (LIfBi)" w:value="Leibniz-Institut für Bildungsverläufe (LIfBi)"/>
            <w:listItem w:displayText="Leibniz-Institut für Deutsche Sprache (IDS)" w:value="Leibniz-Institut für Deutsche Sprache (IDS)"/>
            <w:listItem w:displayText="Leibniz-Institut für Europäische Geschichte (IEG)" w:value="Leibniz-Institut für Europäische Geschichte (IEG)"/>
            <w:listItem w:displayText="Leibniz-Institut für Festkörper- und Werkstoffforschung Dresden e.V. (IFW)" w:value="Leibniz-Institut für Festkörper- und Werkstoffforschung Dresden e.V. (IFW)"/>
            <w:listItem w:displayText="Leibniz-Institut für Finanzmarktforschung SAFE e.V. – Sustainable Architecture for Finance in Europe" w:value="Leibniz-Institut für Finanzmarktforschung SAFE e.V. – Sustainable Architecture for Finance in Europe"/>
            <w:listItem w:displayText="Leibniz-Institut für Gartenbauwissenschaften (IGZ) e.V." w:value="Leibniz-Institut für Gartenbauwissenschaften (IGZ) e.V."/>
            <w:listItem w:displayText="Leibniz-Institut für Geschichte und Kultur des östlichen Europa (GWZO)" w:value="Leibniz-Institut für Geschichte und Kultur des östlichen Europa (GWZO)"/>
            <w:listItem w:displayText="Leibniz-Institut für Gewässerökologie und Binnenfischerei (IGB) im Forschungsverbund Berlin e.V." w:value="Leibniz-Institut für Gewässerökologie und Binnenfischerei (IGB) im Forschungsverbund Berlin e.V."/>
            <w:listItem w:displayText="Leibniz-Institut für Immuntherapie (LIT)" w:value="Leibniz-Institut für Immuntherapie (LIT)"/>
            <w:listItem w:displayText="Leibniz-Institut für jüdische Geschichte und Kultur – Simon Dubnow e.V. (DI)" w:value="Leibniz-Institut für jüdische Geschichte und Kultur – Simon Dubnow e.V. (DI)"/>
            <w:listItem w:displayText="Leibniz-Institut für Katalyse e.V. (LIKAT Rostock)" w:value="Leibniz-Institut für Katalyse e.V. (LIKAT Rostock)"/>
            <w:listItem w:displayText="Leibniz-Institut für Kristallzüchtung (IKZ) im Forschungsverbund Berlin e.V." w:value="Leibniz-Institut für Kristallzüchtung (IKZ) im Forschungsverbund Berlin e.V."/>
            <w:listItem w:displayText="Leibniz-Institut für Länderkunde e.V. (IfL)" w:value="Leibniz-Institut für Länderkunde e.V. (IfL)"/>
            <w:listItem w:displayText="Leibniz-Institut für Lebensmittel-Systembiologie an der Technischen Universität München (LSB)" w:value="Leibniz-Institut für Lebensmittel-Systembiologie an der Technischen Universität München (LSB)"/>
            <w:listItem w:displayText="Leibniz-Institut für Medienforschung | Hans-Bredow-Institut (HBI)" w:value="Leibniz-Institut für Medienforschung | Hans-Bredow-Institut (HBI)"/>
            <w:listItem w:displayText="Leibniz-Institut für Naturstoff-Forschung und Infektionsbiologie e.V. – Hans-Knöll-Institut (HKI)" w:value="Leibniz-Institut für Naturstoff-Forschung und Infektionsbiologie e.V. – Hans-Knöll-Institut (HKI)"/>
            <w:listItem w:displayText="Leibniz-Institut für Neurobiologie (LIN)" w:value="Leibniz-Institut für Neurobiologie (LIN)"/>
            <w:listItem w:displayText="Leibniz-Institut für Oberflächenmodifizierung e.V. (IOM)" w:value="Leibniz-Institut für Oberflächenmodifizierung e.V. (IOM)"/>
            <w:listItem w:displayText="Leibniz-Institut für ökologische Raumentwicklung e.V. (IÖR)" w:value="Leibniz-Institut für ökologische Raumentwicklung e.V. (IÖR)"/>
            <w:listItem w:displayText="Leibniz-Institut für Ost- und Südosteuropaforschung (IOS)" w:value="Leibniz-Institut für Ost- und Südosteuropaforschung (IOS)"/>
            <w:listItem w:displayText="Leibniz-Institut für Ostseeforschung Warnemünde (IOW)" w:value="Leibniz-Institut für Ostseeforschung Warnemünde (IOW)"/>
            <w:listItem w:displayText="Leibniz-Institut für Pflanzenbiochemie (IPB)" w:value="Leibniz-Institut für Pflanzenbiochemie (IPB)"/>
            <w:listItem w:displayText="Leibniz-Institut für Pflanzengenetik und Kulturpflanzenforschung (IPK)" w:value="Leibniz-Institut für Pflanzengenetik und Kulturpflanzenforschung (IPK)"/>
            <w:listItem w:displayText="Leibniz-Institut für Photonische Technologien e.V. (IPHT)" w:value="Leibniz-Institut für Photonische Technologien e.V. (IPHT)"/>
            <w:listItem w:displayText="Leibniz-Institut für Plasmaforschung und Technologie e.V. (INP)" w:value="Leibniz-Institut für Plasmaforschung und Technologie e.V. (INP)"/>
            <w:listItem w:displayText="Leibniz-Institut für Polymerforschung Dresden e.V. (IPF)" w:value="Leibniz-Institut für Polymerforschung Dresden e.V. (IPF)"/>
            <w:listItem w:displayText="Leibniz-Institut für Präventionsforschung und Epidemiologie – BIPS GmbH" w:value="Leibniz-Institut für Präventionsforschung und Epidemiologie – BIPS GmbH"/>
            <w:listItem w:displayText="Leibniz-Institut für Psychologie (ZPID)" w:value="Leibniz-Institut für Psychologie (ZPID)"/>
            <w:listItem w:displayText="Leibniz-Institut für Raumbezogene Sozialforschung (IRS) e.V." w:value="Leibniz-Institut für Raumbezogene Sozialforschung (IRS) e.V."/>
            <w:listItem w:displayText="Leibniz-Institut für Resilienzforschung (LIR) gGmbH" w:value="Leibniz-Institut für Resilienzforschung (LIR) gGmbH"/>
            <w:listItem w:displayText="Leibniz-Institut für Troposphärenforschung e.V. (TROPOS)" w:value="Leibniz-Institut für Troposphärenforschung e.V. (TROPOS)"/>
            <w:listItem w:displayText="Leibniz-Institut für Verbundwerkstoffe GmbH (IVW)" w:value="Leibniz-Institut für Verbundwerkstoffe GmbH (IVW)"/>
            <w:listItem w:displayText="Leibniz-Institut für Virologie (LIV)" w:value="Leibniz-Institut für Virologie (LIV)"/>
            <w:listItem w:displayText="Leibniz-Institut für Werkstofforientierte Technologien - IWT" w:value="Leibniz-Institut für Werkstofforientierte Technologien - IWT"/>
            <w:listItem w:displayText="Leibniz-Institut für Wirtschaftsforschung Halle (IWH)" w:value="Leibniz-Institut für Wirtschaftsforschung Halle (IWH)"/>
            <w:listItem w:displayText="Leibniz-Institut für Wissensmedien (IWM)" w:value="Leibniz-Institut für Wissensmedien (IWM)"/>
            <w:listItem w:displayText="Leibniz-Institut für Zoo- und Wildtierforschung (IZW) im Forschungsverbund Berlin e.V." w:value="Leibniz-Institut für Zoo- und Wildtierforschung (IZW) im Forschungsverbund Berlin e.V."/>
            <w:listItem w:displayText="Leibniz-Institut zur Analyse des Biodiversitätswandels (LIB)" w:value="Leibniz-Institut zur Analyse des Biodiversitätswandels (LIB)"/>
            <w:listItem w:displayText="Leibniz-Zentrum Allgemeine Sprachwissenschaft (ZAS)" w:value="Leibniz-Zentrum Allgemeine Sprachwissenschaft (ZAS)"/>
            <w:listItem w:displayText="Leibniz-Zentrum für Agrarlandschaftsforschung (ZALF) e.V." w:value="Leibniz-Zentrum für Agrarlandschaftsforschung (ZALF) e.V."/>
            <w:listItem w:displayText="Leibniz-Zentrum für Archäologie (LEIZA)" w:value="Leibniz-Zentrum für Archäologie (LEIZA)"/>
            <w:listItem w:displayText="Leibniz-Zentrum für Literatur- und Kulturforschung Berlin (ZfL)" w:value="Leibniz-Zentrum für Literatur- und Kulturforschung Berlin (ZfL)"/>
            <w:listItem w:displayText="Leibniz-Zentrum für Marine Tropenforschung (ZMT) GmbH" w:value="Leibniz-Zentrum für Marine Tropenforschung (ZMT) GmbH"/>
            <w:listItem w:displayText="Leibniz-Zentrum für Zeithistorische Forschung Potsdam (ZZF) e.V." w:value="Leibniz-Zentrum für Zeithistorische Forschung Potsdam (ZZF) e.V."/>
            <w:listItem w:displayText="Leibniz-Zentrum Moderner Orient (ZMO)" w:value="Leibniz-Zentrum Moderner Orient (ZMO)"/>
            <w:listItem w:displayText="Mathematisches Forschungsinstitut Oberwolfach gGmbH (MFO)" w:value="Mathematisches Forschungsinstitut Oberwolfach gGmbH (MFO)"/>
            <w:listItem w:displayText="Max-Born-Institut für Nichtlineare Optik und Kurzzeitspektroskopie (MBI) im Forschungsverbund Berlin e.V." w:value="Max-Born-Institut für Nichtlineare Optik und Kurzzeitspektroskopie (MBI) im Forschungsverbund Berlin e.V."/>
            <w:listItem w:displayText="Museum für Naturkunde – Leibniz-Institut für Evolutions- und Biodiversitätsforschung (MfN)" w:value="Museum für Naturkunde – Leibniz-Institut für Evolutions- und Biodiversitätsforschung (MfN)"/>
            <w:listItem w:displayText="Paul-Drude-Institut für Festkörperelektronik – Leibniz-Institut im Forschungsverbund Berlin e.V. (PDI)" w:value="Paul-Drude-Institut für Festkörperelektronik – Leibniz-Institut im Forschungsverbund Berlin e.V. (PDI)"/>
            <w:listItem w:displayText="Potsdam-Institut für Klimafolgenforschung (PIK) e.V." w:value="Potsdam-Institut für Klimafolgenforschung (PIK) e.V."/>
            <w:listItem w:displayText="PRIF – Leibniz-Institut für Friedens- und Konfliktforschung" w:value="PRIF – Leibniz-Institut für Friedens- und Konfliktforschung"/>
            <w:listItem w:displayText="RWI – Leibniz-Institut für Wirtschaftsforschung e.V." w:value="RWI – Leibniz-Institut für Wirtschaftsforschung e.V."/>
            <w:listItem w:displayText="Schloss Dagstuhl – Leibniz-Zentrum für Informatik GmbH" w:value="Schloss Dagstuhl – Leibniz-Zentrum für Informatik GmbH"/>
            <w:listItem w:displayText="Senckenberg Gesellschaft für Naturforschung  –  Leibniz Institution for Biodiversity and Earth System Research (SGN)" w:value="Senckenberg Gesellschaft für Naturforschung  –  Leibniz Institution for Biodiversity and Earth System Research (SGN)"/>
            <w:listItem w:displayText="Technische Informationsbibliothek (TIB) – Leibniz-Informationszentrum Technik und Naturwissenschaften" w:value="Technische Informationsbibliothek (TIB) – Leibniz-Informationszentrum Technik und Naturwissenschaften"/>
            <w:listItem w:displayText="Weierstraß-Institut für Angewandte Analysis und Stochastik (WIAS), Leibniz-Institut im Forschungsverbund Berlin e.V." w:value="Weierstraß-Institut für Angewandte Analysis und Stochastik (WIAS), Leibniz-Institut im Forschungsverbund Berlin e.V."/>
            <w:listItem w:displayText="Wissenschaftszentrum Berlin für Sozialforschung gGmbH (WZB)" w:value="Wissenschaftszentrum Berlin für Sozialforschung gGmbH (WZB)"/>
            <w:listItem w:displayText="ZBW – Leibniz-Informationszentrum Wirtschaft" w:value="ZBW – Leibniz-Informationszentrum Wirtschaft"/>
            <w:listItem w:displayText="ZEW – Leibniz-Zentrum für Europäische Wirtschaftsforschung GmbH Mannheim" w:value="ZEW – Leibniz-Zentrum für Europäische Wirtschaftsforschung GmbH Mannheim"/>
          </w:dropDownList>
        </w:sdtPr>
        <w:sdtContent>
          <w:r>
            <w:rPr/>
          </w:r>
          <w:r>
            <w:rPr>
              <w:highlight w:val="yellow"/>
            </w:rPr>
            <w:t>Wählen Sie ein Element aus.</w:t>
          </w:r>
        </w:sdtContent>
      </w:sdt>
      <w:r>
        <w:rPr/>
        <w:t xml:space="preserve"> für den Senatsausschuss Strategische Vorhaben (SAS) </w:t>
      </w:r>
      <w:r>
        <w:rPr/>
        <w:t>als Hintergrundinformation für die Beratung des Vorhabens „</w:t>
      </w:r>
      <w:r>
        <w:rPr>
          <w:highlight w:val="yellow"/>
        </w:rPr>
        <w:t>XXX</w:t>
      </w:r>
      <w:r>
        <w:rPr/>
        <w:t>“ (</w:t>
      </w:r>
      <w:sdt>
        <w:sdtPr>
          <w:placeholder>
            <w:docPart w:val="DefaultPlaceholder_-1854013438"/>
          </w:placeholder>
          <w:id w:val="872582100"/>
          <w:dropDownList>
            <w:listItem w:value="Wählen Sie ein Element aus."/>
            <w:listItem w:displayText="kleine strategische" w:value="kleine strategische"/>
            <w:listItem w:displayText="temporäre strategische" w:value="temporäre strategische"/>
          </w:dropDownList>
        </w:sdtPr>
        <w:sdtContent>
          <w:r>
            <w:rPr/>
          </w:r>
          <w:r>
            <w:rPr>
              <w:rStyle w:val="PlaceholderText"/>
              <w:color w:val="auto"/>
              <w:highlight w:val="yellow"/>
            </w:rPr>
            <w:t>Wählen Sie ein Element aus.</w:t>
          </w:r>
        </w:sdtContent>
      </w:sdt>
      <w:r>
        <w:rPr/>
        <w:t xml:space="preserve"> Institutserweiterung) erstellt. </w:t>
      </w:r>
    </w:p>
    <w:p>
      <w:pPr>
        <w:pStyle w:val="Normal"/>
        <w:rPr/>
      </w:pPr>
      <w:r>
        <w:rPr/>
        <w:t xml:space="preserve">Weiterführende Informationen finden sich auch auf der Webseite der Einrichtung sowie in der Senatsstellungnahme aus der letzten Evaluierung: </w:t>
      </w:r>
    </w:p>
    <w:p>
      <w:pPr>
        <w:pStyle w:val="Normal"/>
        <w:rPr/>
      </w:pPr>
      <w:r>
        <w:rPr/>
        <w:t xml:space="preserve">Institutswebseite: </w:t>
      </w:r>
      <w:r>
        <w:rPr>
          <w:highlight w:val="yellow"/>
        </w:rPr>
        <w:t>LINK</w:t>
      </w:r>
    </w:p>
    <w:p>
      <w:pPr>
        <w:pStyle w:val="Normal"/>
        <w:rPr/>
      </w:pPr>
      <w:r>
        <w:rPr/>
        <w:t xml:space="preserve">Senatsstellungnahme Evaluierung: </w:t>
      </w:r>
      <w:r>
        <w:rPr>
          <w:rStyle w:val="HinweistextblauZchn"/>
        </w:rPr>
        <w:t>[Den Link auf die Leibniz-Webseite fügt die Geschäftsstelle ein.]</w:t>
      </w:r>
    </w:p>
    <w:p>
      <w:pPr>
        <w:pStyle w:val="Heading1"/>
        <w:numPr>
          <w:ilvl w:val="0"/>
          <w:numId w:val="6"/>
        </w:numPr>
        <w:rPr/>
      </w:pPr>
      <w:r>
        <w:rPr/>
        <w:t>Geschichte und zentraler Auftrag</w:t>
      </w:r>
    </w:p>
    <w:p>
      <w:pPr>
        <w:pStyle w:val="Hinweistextblau"/>
        <w:rPr/>
      </w:pPr>
      <w:r>
        <w:rPr/>
        <w:t>Bitte stellen Sie die Geschichte sowie den zentralen Auftrag der Einrichtung dar, wie er sich aus der Satzung oder einem vergleichbaren Dokument ergibt.</w:t>
      </w:r>
    </w:p>
    <w:p>
      <w:pPr>
        <w:pStyle w:val="Hinweistextblau"/>
        <w:rPr/>
      </w:pPr>
      <w:r>
        <w:rPr/>
        <w:t>Umfang: ca. 0,5 Seiten</w:t>
      </w:r>
    </w:p>
    <w:p>
      <w:pPr>
        <w:pStyle w:val="Normal"/>
        <w:rPr/>
      </w:pPr>
      <w:r>
        <w:rPr>
          <w:highlight w:val="yellow"/>
        </w:rPr>
        <w:t>XXX</w:t>
      </w:r>
    </w:p>
    <w:p>
      <w:pPr>
        <w:pStyle w:val="Heading1"/>
        <w:numPr>
          <w:ilvl w:val="0"/>
          <w:numId w:val="6"/>
        </w:numPr>
        <w:rPr/>
      </w:pPr>
      <w:r>
        <w:rPr/>
        <w:t>Forschungsprogramm und Organisation</w:t>
      </w:r>
    </w:p>
    <w:p>
      <w:pPr>
        <w:pStyle w:val="Hinweistextblau"/>
        <w:rPr/>
      </w:pPr>
      <w:r>
        <w:rPr/>
        <w:t xml:space="preserve">Bitte stellen Sie das Forschungsprogramm der Einrichtung kurz vor. </w:t>
      </w:r>
    </w:p>
    <w:p>
      <w:pPr>
        <w:pStyle w:val="Hinweistextblau"/>
        <w:rPr/>
      </w:pPr>
      <w:r>
        <w:rPr/>
        <w:t xml:space="preserve">Bitte gehen Sie bei dieser Beschreibung des Gesamtkonzepts der Einrichtung auch auf die Rolle und Gewichtung der folgenden drei Aufgabentypen ein: i) Forschung, ii) Entwicklung und Betrieb von Forschungsinfrastrukturen, iii) Transfer. </w:t>
      </w:r>
    </w:p>
    <w:p>
      <w:pPr>
        <w:pStyle w:val="Hinweistextblau"/>
        <w:rPr/>
      </w:pPr>
      <w:r>
        <w:rPr/>
        <w:t>Bitte gehen Sie dabei auch kurz auf die Organisation des Instituts ein (derart, dass ein Bezug zum Organisationsplan hergestellt werden kann).</w:t>
      </w:r>
    </w:p>
    <w:p>
      <w:pPr>
        <w:pStyle w:val="Hinweistextblau"/>
        <w:rPr/>
      </w:pPr>
      <w:r>
        <w:rPr/>
        <w:t>Umfang: ca. 1,5 Seiten</w:t>
      </w:r>
    </w:p>
    <w:p>
      <w:pPr>
        <w:pStyle w:val="Normal"/>
        <w:rPr/>
      </w:pPr>
      <w:r>
        <w:rPr>
          <w:highlight w:val="yellow"/>
        </w:rPr>
        <w:t>XXX</w:t>
      </w:r>
    </w:p>
    <w:p>
      <w:pPr>
        <w:pStyle w:val="Heading1"/>
        <w:numPr>
          <w:ilvl w:val="0"/>
          <w:numId w:val="6"/>
        </w:numPr>
        <w:rPr>
          <w:shd w:fill="FFFF00" w:val="clear"/>
        </w:rPr>
      </w:pPr>
      <w:r>
        <w:rPr/>
        <w:t>Finanzen und Personal im Jahr 2026</w:t>
      </w:r>
    </w:p>
    <w:p>
      <w:pPr>
        <w:pStyle w:val="Zwischenberschrift"/>
        <w:rPr/>
      </w:pPr>
      <w:r>
        <w:rPr/>
        <w:t>Übersicht</w:t>
      </w:r>
      <w:r>
        <w:rPr>
          <w:b/>
          <w:sz w:val="28"/>
        </w:rPr>
        <w:t xml:space="preserve"> </w:t>
      </w:r>
      <w:r>
        <w:rPr/>
        <w:t>Finanzen</w:t>
      </w:r>
    </w:p>
    <w:tbl>
      <w:tblPr>
        <w:tblW w:w="9067" w:type="dxa"/>
        <w:jc w:val="left"/>
        <w:tblInd w:w="0" w:type="dxa"/>
        <w:tblLayout w:type="fixed"/>
        <w:tblCellMar>
          <w:top w:w="57" w:type="dxa"/>
          <w:left w:w="108" w:type="dxa"/>
          <w:bottom w:w="57" w:type="dxa"/>
          <w:right w:w="108" w:type="dxa"/>
        </w:tblCellMar>
        <w:tblLook w:val="04a0" w:noHBand="0" w:noVBand="1" w:firstColumn="1" w:lastRow="0" w:lastColumn="0" w:firstRow="1"/>
      </w:tblPr>
      <w:tblGrid>
        <w:gridCol w:w="1411"/>
        <w:gridCol w:w="7655"/>
      </w:tblGrid>
      <w:tr>
        <w:trPr>
          <w:trHeight w:val="20" w:hRule="atLeast"/>
        </w:trPr>
        <w:tc>
          <w:tcPr>
            <w:tcW w:w="1411" w:type="dxa"/>
            <w:tcBorders/>
            <w:shd w:color="auto" w:fill="auto" w:val="clear"/>
          </w:tcPr>
          <w:p>
            <w:pPr>
              <w:pStyle w:val="StandardHinweistext"/>
              <w:spacing w:before="0" w:after="0"/>
              <w:jc w:val="right"/>
              <w:rPr>
                <w:color w:val="auto"/>
                <w:highlight w:val="yellow"/>
              </w:rPr>
            </w:pPr>
            <w:r>
              <w:rPr>
                <w:color w:val="auto"/>
                <w:highlight w:val="yellow"/>
              </w:rPr>
              <w:t>X.XXX</w:t>
            </w:r>
            <w:r>
              <w:rPr>
                <w:color w:val="auto"/>
              </w:rPr>
              <w:t xml:space="preserve"> T€</w:t>
            </w:r>
          </w:p>
        </w:tc>
        <w:tc>
          <w:tcPr>
            <w:tcW w:w="7655" w:type="dxa"/>
            <w:tcBorders/>
            <w:shd w:color="auto" w:fill="auto" w:val="clear"/>
          </w:tcPr>
          <w:p>
            <w:pPr>
              <w:pStyle w:val="StandardHinweistext"/>
              <w:spacing w:before="0" w:after="0"/>
              <w:rPr>
                <w:color w:val="auto"/>
              </w:rPr>
            </w:pPr>
            <w:r>
              <w:rPr>
                <w:color w:val="auto"/>
              </w:rPr>
              <w:t>Kernhaushalt des Instituts</w:t>
            </w:r>
          </w:p>
        </w:tc>
      </w:tr>
      <w:tr>
        <w:trPr>
          <w:trHeight w:val="20" w:hRule="atLeast"/>
        </w:trPr>
        <w:tc>
          <w:tcPr>
            <w:tcW w:w="1411" w:type="dxa"/>
            <w:tcBorders/>
            <w:shd w:color="auto" w:fill="auto" w:val="clear"/>
          </w:tcPr>
          <w:p>
            <w:pPr>
              <w:pStyle w:val="StandardHinweistext"/>
              <w:spacing w:before="0" w:after="0"/>
              <w:jc w:val="right"/>
              <w:rPr>
                <w:color w:val="auto"/>
                <w:highlight w:val="yellow"/>
              </w:rPr>
            </w:pPr>
            <w:r>
              <w:rPr>
                <w:color w:val="auto"/>
                <w:highlight w:val="yellow"/>
              </w:rPr>
              <w:t>X.XXX</w:t>
            </w:r>
            <w:r>
              <w:rPr>
                <w:color w:val="auto"/>
              </w:rPr>
              <w:t xml:space="preserve"> T€ </w:t>
            </w:r>
          </w:p>
        </w:tc>
        <w:tc>
          <w:tcPr>
            <w:tcW w:w="7655" w:type="dxa"/>
            <w:tcBorders/>
            <w:shd w:color="auto" w:fill="auto" w:val="clear"/>
          </w:tcPr>
          <w:p>
            <w:pPr>
              <w:pStyle w:val="StandardHinweistext"/>
              <w:spacing w:before="0" w:after="0"/>
              <w:rPr>
                <w:color w:val="auto"/>
              </w:rPr>
            </w:pPr>
            <w:r>
              <w:rPr>
                <w:color w:val="auto"/>
              </w:rPr>
              <w:t xml:space="preserve">Erträge aus Zuwendungen zur Projektfinanzierung </w:t>
            </w:r>
          </w:p>
        </w:tc>
      </w:tr>
    </w:tbl>
    <w:p>
      <w:pPr>
        <w:pStyle w:val="Zwischenberschrift"/>
        <w:rPr>
          <w:rFonts w:cs="Arial"/>
        </w:rPr>
      </w:pPr>
      <w:r>
        <w:rPr/>
        <w:t>Übersicht Personal (VZÄ) zum 1. Juli 2026</w:t>
      </w:r>
      <w:bookmarkStart w:id="0" w:name="_GoBack"/>
      <w:bookmarkEnd w:id="0"/>
      <w:r>
        <w:rPr>
          <w:rStyle w:val="FootnoteReference"/>
        </w:rPr>
        <w:footnoteReference w:id="3"/>
      </w:r>
      <w:r>
        <w:rPr/>
        <w:t xml:space="preserve"> </w:t>
      </w:r>
    </w:p>
    <w:tbl>
      <w:tblPr>
        <w:tblW w:w="9067" w:type="dxa"/>
        <w:jc w:val="left"/>
        <w:tblInd w:w="0" w:type="dxa"/>
        <w:tblLayout w:type="fixed"/>
        <w:tblCellMar>
          <w:top w:w="57" w:type="dxa"/>
          <w:left w:w="108" w:type="dxa"/>
          <w:bottom w:w="57" w:type="dxa"/>
          <w:right w:w="108" w:type="dxa"/>
        </w:tblCellMar>
        <w:tblLook w:val="04a0" w:noHBand="0" w:noVBand="1" w:firstColumn="1" w:lastRow="0" w:lastColumn="0" w:firstRow="1"/>
      </w:tblPr>
      <w:tblGrid>
        <w:gridCol w:w="1411"/>
        <w:gridCol w:w="7655"/>
      </w:tblGrid>
      <w:tr>
        <w:trPr>
          <w:trHeight w:val="20" w:hRule="atLeast"/>
        </w:trPr>
        <w:tc>
          <w:tcPr>
            <w:tcW w:w="1411" w:type="dxa"/>
            <w:tcBorders/>
            <w:shd w:color="auto" w:fill="auto" w:val="clear"/>
            <w:vAlign w:val="center"/>
          </w:tcPr>
          <w:p>
            <w:pPr>
              <w:pStyle w:val="StandardHinweistext"/>
              <w:keepNext w:val="true"/>
              <w:spacing w:before="0" w:after="0"/>
              <w:jc w:val="right"/>
              <w:rPr>
                <w:rFonts w:cs="Arial"/>
                <w:i/>
                <w:i/>
                <w:color w:val="auto"/>
                <w:highlight w:val="yellow"/>
              </w:rPr>
            </w:pPr>
            <w:r>
              <w:rPr>
                <w:rStyle w:val="HinweistextblauZchn"/>
                <w:rFonts w:cs="Arial"/>
                <w:i w:val="false"/>
                <w:color w:val="auto"/>
                <w:highlight w:val="yellow"/>
              </w:rPr>
              <w:t>XXX</w:t>
            </w:r>
            <w:r>
              <w:rPr>
                <w:rStyle w:val="HinweistextblauZchn"/>
                <w:rFonts w:cs="Arial"/>
                <w:i w:val="false"/>
                <w:color w:val="auto"/>
              </w:rPr>
              <w:t xml:space="preserve"> VZÄ</w:t>
            </w:r>
          </w:p>
        </w:tc>
        <w:tc>
          <w:tcPr>
            <w:tcW w:w="7655" w:type="dxa"/>
            <w:tcBorders/>
            <w:shd w:color="auto" w:fill="auto" w:val="clear"/>
            <w:vAlign w:val="center"/>
          </w:tcPr>
          <w:p>
            <w:pPr>
              <w:pStyle w:val="Normal"/>
              <w:keepNext w:val="true"/>
              <w:widowControl/>
              <w:spacing w:before="0" w:after="0"/>
              <w:jc w:val="left"/>
              <w:rPr>
                <w:rFonts w:cs="Arial"/>
              </w:rPr>
            </w:pPr>
            <w:bookmarkStart w:id="1" w:name="_Hlk176181752"/>
            <w:r>
              <w:rPr>
                <w:rStyle w:val="HinweistextblauZchn"/>
                <w:rFonts w:eastAsia="Cambria" w:cs="Arial"/>
                <w:i w:val="false"/>
                <w:color w:val="auto"/>
                <w:lang w:eastAsia="de-DE"/>
              </w:rPr>
              <w:t>im Bereich „Forschung und Wissenschaftliche Dienstleistungen“</w:t>
            </w:r>
            <w:bookmarkEnd w:id="1"/>
          </w:p>
        </w:tc>
      </w:tr>
      <w:tr>
        <w:trPr>
          <w:trHeight w:val="20" w:hRule="atLeast"/>
        </w:trPr>
        <w:tc>
          <w:tcPr>
            <w:tcW w:w="1411" w:type="dxa"/>
            <w:tcBorders/>
            <w:shd w:color="auto" w:fill="auto" w:val="clear"/>
            <w:vAlign w:val="center"/>
          </w:tcPr>
          <w:p>
            <w:pPr>
              <w:pStyle w:val="StandardHinweistext"/>
              <w:spacing w:before="0" w:after="0"/>
              <w:jc w:val="right"/>
              <w:rPr>
                <w:rFonts w:cs="Arial"/>
                <w:i/>
                <w:i/>
                <w:color w:val="auto"/>
                <w:highlight w:val="yellow"/>
              </w:rPr>
            </w:pPr>
            <w:r>
              <w:rPr>
                <w:rStyle w:val="HinweistextblauZchn"/>
                <w:rFonts w:cs="Arial"/>
                <w:i w:val="false"/>
                <w:color w:val="auto"/>
                <w:highlight w:val="yellow"/>
              </w:rPr>
              <w:t>XXX</w:t>
            </w:r>
            <w:r>
              <w:rPr>
                <w:rStyle w:val="HinweistextblauZchn"/>
                <w:rFonts w:cs="Arial"/>
                <w:i w:val="false"/>
                <w:color w:val="auto"/>
              </w:rPr>
              <w:t xml:space="preserve"> VZÄ</w:t>
            </w:r>
          </w:p>
        </w:tc>
        <w:tc>
          <w:tcPr>
            <w:tcW w:w="7655" w:type="dxa"/>
            <w:tcBorders/>
            <w:shd w:color="auto" w:fill="auto" w:val="clear"/>
            <w:vAlign w:val="center"/>
          </w:tcPr>
          <w:p>
            <w:pPr>
              <w:pStyle w:val="Normal"/>
              <w:widowControl/>
              <w:spacing w:before="0" w:after="0"/>
              <w:jc w:val="left"/>
              <w:rPr>
                <w:rFonts w:eastAsia="Cambria" w:cs="Arial"/>
                <w:u w:val="none" w:color="000000"/>
                <w:lang w:eastAsia="de-DE"/>
              </w:rPr>
            </w:pPr>
            <w:bookmarkStart w:id="2" w:name="_Hlk176181785"/>
            <w:r>
              <w:rPr>
                <w:rStyle w:val="HinweistextblauZchn"/>
                <w:rFonts w:eastAsia="Cambria" w:cs="Arial"/>
                <w:i w:val="false"/>
                <w:color w:val="auto"/>
                <w:lang w:eastAsia="de-DE"/>
              </w:rPr>
              <w:t>im Bereich „Wissenschaftsunterstützendes Personal (Labore, Technik etc.)</w:t>
            </w:r>
            <w:bookmarkEnd w:id="2"/>
            <w:r>
              <w:rPr>
                <w:rStyle w:val="HinweistextblauZchn"/>
                <w:rFonts w:eastAsia="Cambria" w:cs="Arial"/>
                <w:i w:val="false"/>
                <w:color w:val="auto"/>
                <w:lang w:eastAsia="de-DE"/>
              </w:rPr>
              <w:t xml:space="preserve">“ </w:t>
            </w:r>
          </w:p>
        </w:tc>
      </w:tr>
      <w:tr>
        <w:trPr>
          <w:trHeight w:val="20" w:hRule="atLeast"/>
        </w:trPr>
        <w:tc>
          <w:tcPr>
            <w:tcW w:w="1411" w:type="dxa"/>
            <w:tcBorders/>
            <w:shd w:color="auto" w:fill="auto" w:val="clear"/>
            <w:vAlign w:val="center"/>
          </w:tcPr>
          <w:p>
            <w:pPr>
              <w:pStyle w:val="StandardHinweistext"/>
              <w:spacing w:before="0" w:after="0"/>
              <w:jc w:val="right"/>
              <w:rPr>
                <w:rFonts w:cs="Arial"/>
                <w:i/>
                <w:i/>
                <w:color w:val="auto"/>
                <w:highlight w:val="yellow"/>
              </w:rPr>
            </w:pPr>
            <w:r>
              <w:rPr>
                <w:rStyle w:val="HinweistextblauZchn"/>
                <w:rFonts w:cs="Arial"/>
                <w:i w:val="false"/>
                <w:color w:val="auto"/>
                <w:highlight w:val="yellow"/>
              </w:rPr>
              <w:t>XXX</w:t>
            </w:r>
            <w:r>
              <w:rPr>
                <w:rStyle w:val="HinweistextblauZchn"/>
                <w:rFonts w:cs="Arial"/>
                <w:i w:val="false"/>
                <w:color w:val="auto"/>
              </w:rPr>
              <w:t xml:space="preserve"> VZÄ</w:t>
            </w:r>
          </w:p>
        </w:tc>
        <w:tc>
          <w:tcPr>
            <w:tcW w:w="7655" w:type="dxa"/>
            <w:tcBorders/>
            <w:shd w:color="auto" w:fill="auto" w:val="clear"/>
            <w:vAlign w:val="center"/>
          </w:tcPr>
          <w:p>
            <w:pPr>
              <w:pStyle w:val="StandardHinweistext"/>
              <w:spacing w:before="0" w:after="0"/>
              <w:jc w:val="left"/>
              <w:rPr>
                <w:rFonts w:cs="Arial"/>
                <w:color w:val="auto"/>
              </w:rPr>
            </w:pPr>
            <w:bookmarkStart w:id="3" w:name="_Hlk176181843"/>
            <w:r>
              <w:rPr>
                <w:rStyle w:val="HinweistextblauZchn"/>
                <w:rFonts w:cs="Arial"/>
                <w:i w:val="false"/>
                <w:color w:val="auto"/>
              </w:rPr>
              <w:t>im Bereich „Wissenschaftsunterstützendes Personal (Administration)“</w:t>
            </w:r>
            <w:bookmarkEnd w:id="3"/>
            <w:r>
              <w:rPr>
                <w:rFonts w:cs="Arial"/>
              </w:rPr>
              <w:t xml:space="preserve"> </w:t>
            </w:r>
          </w:p>
        </w:tc>
      </w:tr>
    </w:tbl>
    <w:p>
      <w:pPr>
        <w:pStyle w:val="Heading1"/>
        <w:numPr>
          <w:ilvl w:val="0"/>
          <w:numId w:val="6"/>
        </w:numPr>
        <w:rPr/>
      </w:pPr>
      <w:r>
        <w:rPr/>
        <w:t xml:space="preserve">Anlage(n) </w:t>
      </w:r>
    </w:p>
    <w:p>
      <w:pPr>
        <w:pStyle w:val="Zwischenberschrift"/>
        <w:rPr/>
      </w:pPr>
      <w:r>
        <w:rPr/>
        <w:t xml:space="preserve">Aktueller Organisationsplan </w:t>
      </w:r>
    </w:p>
    <w:p>
      <w:pPr>
        <w:pStyle w:val="Normal"/>
        <w:rPr/>
      </w:pPr>
      <w:r>
        <w:rPr/>
      </w:r>
    </w:p>
    <w:p>
      <w:pPr>
        <w:pStyle w:val="Normal"/>
        <w:rPr/>
      </w:pPr>
      <w:r>
        <w:rPr/>
      </w:r>
    </w:p>
    <w:p>
      <w:pPr>
        <w:pStyle w:val="Zwischenberschrift"/>
        <w:spacing w:before="240" w:after="120"/>
        <w:rPr/>
      </w:pPr>
      <w:r>
        <w:rPr/>
        <w:t>Vorgesehener Organisationsplan</w:t>
      </w:r>
      <w:r>
        <w:rPr>
          <w:u w:val="none"/>
        </w:rPr>
        <w:t xml:space="preserve"> </w:t>
      </w:r>
      <w:r>
        <w:rPr>
          <w:rStyle w:val="HinweistextblauZchn"/>
          <w:rFonts w:cs="Arial"/>
          <w:u w:val="none"/>
        </w:rPr>
        <w:t>[sofern relevant]</w:t>
      </w:r>
    </w:p>
    <w:sectPr>
      <w:footerReference w:type="even" r:id="rId3"/>
      <w:footerReference w:type="default" r:id="rId4"/>
      <w:footerReference w:type="first" r:id="rId5"/>
      <w:footnotePr>
        <w:numFmt w:val="decimal"/>
      </w:footnotePr>
      <w:type w:val="nextPage"/>
      <w:pgSz w:w="11906" w:h="16838"/>
      <w:pgMar w:left="1418" w:right="1418" w:gutter="0" w:header="0" w:top="1418" w:footer="567" w:bottom="141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Calibri">
    <w:charset w:val="01"/>
    <w:family w:val="swiss"/>
    <w:pitch w:val="variable"/>
  </w:font>
  <w:font w:name="Arial">
    <w:charset w:val="01"/>
    <w:family w:val="swiss"/>
    <w:pitch w:val="variable"/>
  </w:font>
  <w:font w:name="Segoe UI">
    <w:charset w:val="01"/>
    <w:family w:val="swiss"/>
    <w:pitch w:val="variable"/>
  </w:font>
  <w:font w:name="Tahoma">
    <w:charset w:val="01"/>
    <w:family w:val="swiss"/>
    <w:pitch w:val="variable"/>
  </w:font>
  <w:font w:name="Cambria">
    <w:charset w:val="01"/>
    <w:family w:val="roman"/>
    <w:pitch w:val="variable"/>
  </w:font>
  <w:font w:name="Cambria-Italic">
    <w:charset w:val="01"/>
    <w:family w:val="roman"/>
    <w:pitch w:val="variable"/>
  </w:font>
  <w:font w:name="Calibri Light">
    <w:charset w:val="01"/>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center"/>
      <w:rPr/>
    </w:pPr>
    <w:r>
      <w:rPr/>
      <w:t xml:space="preserve">- </w:t>
    </w:r>
    <w:r>
      <w:rPr/>
      <w:fldChar w:fldCharType="begin"/>
    </w:r>
    <w:r>
      <w:rPr/>
      <w:instrText xml:space="preserve"> PAGE </w:instrText>
    </w:r>
    <w:r>
      <w:rPr/>
      <w:fldChar w:fldCharType="separate"/>
    </w:r>
    <w:r>
      <w:rPr/>
      <w:t>3</w:t>
    </w:r>
    <w:r>
      <w:rPr/>
      <w:fldChar w:fldCharType="end"/>
    </w:r>
    <w:r>
      <w:rPr/>
      <w:t xml:space="preserve"> -</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center"/>
      <w:rPr/>
    </w:pPr>
    <w:r>
      <w:rPr/>
      <w:t xml:space="preserve">- </w:t>
    </w:r>
    <w:r>
      <w:rPr/>
      <w:fldChar w:fldCharType="begin"/>
    </w:r>
    <w:r>
      <w:rPr/>
      <w:instrText xml:space="preserve"> PAGE </w:instrText>
    </w:r>
    <w:r>
      <w:rPr/>
      <w:fldChar w:fldCharType="separate"/>
    </w:r>
    <w:r>
      <w:rPr/>
      <w:t>3</w:t>
    </w:r>
    <w:r>
      <w:rPr/>
      <w:fldChar w:fldCharType="end"/>
    </w:r>
    <w:r>
      <w:rPr/>
      <w:t xml:space="preserve"> -</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spacing w:before="120" w:after="120"/>
        <w:ind w:hanging="142" w:left="142"/>
        <w:rPr>
          <w:i/>
          <w:i/>
          <w:color w:val="1F4E79"/>
          <w:lang w:val="de-DE"/>
        </w:rPr>
      </w:pPr>
      <w:r>
        <w:rPr>
          <w:rStyle w:val="FootnoteCharacters"/>
        </w:rPr>
        <w:footnoteRef/>
      </w:r>
      <w:r>
        <w:rPr>
          <w:i/>
          <w:color w:val="1F4E79"/>
          <w:lang w:val="de-DE"/>
        </w:rPr>
        <w:tab/>
        <w:t xml:space="preserve"> </w:t>
      </w:r>
      <w:r>
        <w:rPr>
          <w:i/>
          <w:color w:val="1F4E79"/>
          <w:lang w:val="de-DE"/>
        </w:rPr>
        <w:t xml:space="preserve">Vgl. </w:t>
      </w:r>
      <w:hyperlink r:id="rId1">
        <w:r>
          <w:rPr>
            <w:rStyle w:val="Hyperlink"/>
            <w:i/>
            <w:lang w:val="de-DE"/>
          </w:rPr>
          <w:t>Handreichung des Präsidiums zu kleinen strategischen und temporären strategischen Institutserweiterungen</w:t>
        </w:r>
      </w:hyperlink>
      <w:r>
        <w:rPr>
          <w:i/>
          <w:color w:val="1F4E79"/>
          <w:lang w:val="de-DE"/>
        </w:rPr>
        <w:t>.</w:t>
      </w:r>
    </w:p>
  </w:footnote>
  <w:footnote w:id="3">
    <w:p>
      <w:pPr>
        <w:pStyle w:val="FootnoteText"/>
        <w:spacing w:before="120" w:after="120"/>
        <w:ind w:hanging="142" w:left="142"/>
        <w:rPr>
          <w:lang w:val="de-DE"/>
        </w:rPr>
      </w:pPr>
      <w:r>
        <w:rPr>
          <w:rStyle w:val="FootnoteCharacters"/>
        </w:rPr>
        <w:footnoteRef/>
      </w:r>
      <w:r>
        <w:rPr>
          <w:lang w:val="de-DE"/>
        </w:rPr>
        <w:tab/>
        <w:t xml:space="preserve"> </w:t>
      </w:r>
      <w:r>
        <w:rPr>
          <w:lang w:val="de-DE"/>
        </w:rPr>
        <w:t>Zum Stichtag bei der Einrichtung über die institutionelle Förderung und Projekte angestelltes Personal ohne Studentische Hilfskräfte, Auszubildende und Stipendiatinnen und Stipendiaten.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isLgl/>
      <w:numFmt w:val="decimal"/>
      <w:lvlText w:val="%1."/>
      <w:lvlJc w:val="left"/>
      <w:pPr>
        <w:tabs>
          <w:tab w:val="num" w:pos="0"/>
        </w:tabs>
        <w:ind w:left="567" w:hanging="567"/>
      </w:pPr>
      <w:rPr>
        <w:sz w:val="28"/>
        <w:b/>
        <w:rFonts w:ascii="Arial" w:hAnsi="Arial"/>
      </w:rPr>
    </w:lvl>
    <w:lvl w:ilvl="1">
      <w:start w:val="1"/>
      <w:isLgl/>
      <w:numFmt w:val="decimal"/>
      <w:lvlText w:val="%1.%2"/>
      <w:lvlJc w:val="left"/>
      <w:pPr>
        <w:tabs>
          <w:tab w:val="num" w:pos="0"/>
        </w:tabs>
        <w:ind w:left="1702" w:hanging="567"/>
      </w:pPr>
      <w:rPr/>
    </w:lvl>
    <w:lvl w:ilvl="2">
      <w:start w:val="1"/>
      <w:numFmt w:val="decimal"/>
      <w:lvlText w:val="%1.%2.%3"/>
      <w:lvlJc w:val="left"/>
      <w:pPr>
        <w:tabs>
          <w:tab w:val="num" w:pos="0"/>
        </w:tabs>
        <w:ind w:left="567" w:hanging="567"/>
      </w:pPr>
      <w:rPr/>
    </w:lvl>
    <w:lvl w:ilvl="3">
      <w:start w:val="1"/>
      <w:numFmt w:val="decimal"/>
      <w:lvlText w:val="(%4)"/>
      <w:lvlJc w:val="left"/>
      <w:pPr>
        <w:tabs>
          <w:tab w:val="num" w:pos="0"/>
        </w:tabs>
        <w:ind w:left="1428" w:hanging="357"/>
      </w:pPr>
      <w:rPr/>
    </w:lvl>
    <w:lvl w:ilvl="4">
      <w:start w:val="1"/>
      <w:numFmt w:val="lowerLetter"/>
      <w:lvlText w:val="(%5)"/>
      <w:lvlJc w:val="left"/>
      <w:pPr>
        <w:tabs>
          <w:tab w:val="num" w:pos="0"/>
        </w:tabs>
        <w:ind w:left="1785" w:hanging="357"/>
      </w:pPr>
      <w:rPr/>
    </w:lvl>
    <w:lvl w:ilvl="5">
      <w:start w:val="1"/>
      <w:numFmt w:val="lowerRoman"/>
      <w:lvlText w:val="(%6)"/>
      <w:lvlJc w:val="left"/>
      <w:pPr>
        <w:tabs>
          <w:tab w:val="num" w:pos="0"/>
        </w:tabs>
        <w:ind w:left="2142" w:hanging="357"/>
      </w:pPr>
      <w:rPr/>
    </w:lvl>
    <w:lvl w:ilvl="6">
      <w:start w:val="1"/>
      <w:numFmt w:val="decimal"/>
      <w:lvlText w:val="%7."/>
      <w:lvlJc w:val="left"/>
      <w:pPr>
        <w:tabs>
          <w:tab w:val="num" w:pos="0"/>
        </w:tabs>
        <w:ind w:left="2499" w:hanging="357"/>
      </w:pPr>
      <w:rPr/>
    </w:lvl>
    <w:lvl w:ilvl="7">
      <w:start w:val="1"/>
      <w:numFmt w:val="lowerLetter"/>
      <w:lvlText w:val="%8."/>
      <w:lvlJc w:val="left"/>
      <w:pPr>
        <w:tabs>
          <w:tab w:val="num" w:pos="0"/>
        </w:tabs>
        <w:ind w:left="2856" w:hanging="357"/>
      </w:pPr>
      <w:rPr/>
    </w:lvl>
    <w:lvl w:ilvl="8">
      <w:start w:val="1"/>
      <w:numFmt w:val="lowerRoman"/>
      <w:lvlText w:val="%9."/>
      <w:lvlJc w:val="left"/>
      <w:pPr>
        <w:tabs>
          <w:tab w:val="num" w:pos="0"/>
        </w:tabs>
        <w:ind w:left="3213" w:hanging="357"/>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8"/>
  <w:autoHyphenation w:val="true"/>
  <w:hyphenationZone w:val="425"/>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mbria" w:cs="Times New Roman"/>
        <w:lang w:val="de-DE" w:eastAsia="de-DE"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6e11e1"/>
    <w:pPr>
      <w:widowControl w:val="false"/>
      <w:suppressAutoHyphens w:val="false"/>
      <w:bidi w:val="0"/>
      <w:spacing w:lineRule="auto" w:line="288" w:before="120" w:after="120"/>
      <w:jc w:val="both"/>
    </w:pPr>
    <w:rPr>
      <w:rFonts w:ascii="Arial" w:hAnsi="Arial" w:eastAsia="" w:cs="" w:cstheme="minorBidi" w:eastAsiaTheme="minorEastAsia"/>
      <w:color w:val="auto"/>
      <w:kern w:val="0"/>
      <w:sz w:val="22"/>
      <w:szCs w:val="22"/>
      <w:lang w:val="de-DE" w:eastAsia="zh-CN" w:bidi="ar-SA"/>
    </w:rPr>
  </w:style>
  <w:style w:type="paragraph" w:styleId="Heading1">
    <w:name w:val="Heading 1"/>
    <w:basedOn w:val="Normal"/>
    <w:next w:val="Normal"/>
    <w:link w:val="berschrift1Zchn"/>
    <w:uiPriority w:val="9"/>
    <w:qFormat/>
    <w:rsid w:val="00fa1bf0"/>
    <w:pPr>
      <w:keepNext w:val="true"/>
      <w:widowControl/>
      <w:numPr>
        <w:ilvl w:val="0"/>
        <w:numId w:val="6"/>
      </w:numPr>
      <w:spacing w:before="480" w:after="120"/>
      <w:jc w:val="left"/>
      <w:outlineLvl w:val="0"/>
    </w:pPr>
    <w:rPr>
      <w:b/>
      <w:sz w:val="28"/>
    </w:rPr>
  </w:style>
  <w:style w:type="paragraph" w:styleId="Heading2">
    <w:name w:val="Heading 2"/>
    <w:basedOn w:val="Normal"/>
    <w:next w:val="Normal"/>
    <w:link w:val="berschrift2Zchn"/>
    <w:autoRedefine/>
    <w:uiPriority w:val="9"/>
    <w:unhideWhenUsed/>
    <w:qFormat/>
    <w:rsid w:val="00fa1bf0"/>
    <w:pPr>
      <w:keepNext w:val="true"/>
      <w:numPr>
        <w:ilvl w:val="1"/>
        <w:numId w:val="6"/>
      </w:numPr>
      <w:spacing w:before="240" w:after="120"/>
      <w:jc w:val="left"/>
      <w:outlineLvl w:val="1"/>
    </w:pPr>
    <w:rPr>
      <w:rFonts w:eastAsia="Calibri" w:cs="" w:cstheme="majorBidi"/>
      <w:b/>
      <w:sz w:val="24"/>
      <w:szCs w:val="26"/>
    </w:rPr>
  </w:style>
  <w:style w:type="paragraph" w:styleId="Heading3">
    <w:name w:val="Heading 3"/>
    <w:basedOn w:val="Normal"/>
    <w:next w:val="Normal"/>
    <w:link w:val="berschrift3Zchn"/>
    <w:uiPriority w:val="9"/>
    <w:unhideWhenUsed/>
    <w:qFormat/>
    <w:rsid w:val="00fa1bf0"/>
    <w:pPr>
      <w:keepNext w:val="true"/>
      <w:widowControl/>
      <w:numPr>
        <w:ilvl w:val="2"/>
        <w:numId w:val="6"/>
      </w:numPr>
      <w:spacing w:before="240" w:after="120"/>
      <w:jc w:val="left"/>
      <w:outlineLvl w:val="2"/>
    </w:pPr>
    <w:rPr>
      <w:rFonts w:eastAsia="" w:cs="" w:cstheme="majorBidi" w:eastAsiaTheme="majorEastAsia"/>
      <w:b/>
      <w:szCs w:val="24"/>
    </w:rPr>
  </w:style>
  <w:style w:type="paragraph" w:styleId="Heading4">
    <w:name w:val="Heading 4"/>
    <w:basedOn w:val="Normal"/>
    <w:next w:val="Normal"/>
    <w:link w:val="berschrift4Zchn"/>
    <w:uiPriority w:val="9"/>
    <w:unhideWhenUsed/>
    <w:qFormat/>
    <w:rsid w:val="00fa1bf0"/>
    <w:pPr>
      <w:jc w:val="left"/>
      <w:outlineLvl w:val="3"/>
    </w:pPr>
    <w:rPr>
      <w:rFonts w:eastAsia="" w:cs="" w:cstheme="majorBidi" w:eastAsiaTheme="majorEastAsia"/>
      <w:b/>
      <w:i/>
      <w:iCs/>
    </w:rPr>
  </w:style>
  <w:style w:type="paragraph" w:styleId="Heading5">
    <w:name w:val="Heading 5"/>
    <w:basedOn w:val="Normal"/>
    <w:next w:val="Normal"/>
    <w:link w:val="berschrift5Zchn"/>
    <w:uiPriority w:val="9"/>
    <w:unhideWhenUsed/>
    <w:qFormat/>
    <w:rsid w:val="00fa1bf0"/>
    <w:pPr>
      <w:keepNext w:val="true"/>
      <w:keepLines/>
      <w:numPr>
        <w:ilvl w:val="0"/>
        <w:numId w:val="5"/>
      </w:numPr>
      <w:outlineLvl w:val="4"/>
    </w:pPr>
    <w:rPr>
      <w:rFonts w:eastAsia="" w:cs="" w:cstheme="majorBidi" w:eastAsiaTheme="majorEastAsia"/>
      <w:b/>
    </w:rPr>
  </w:style>
  <w:style w:type="character" w:styleId="DefaultParagraphFont" w:default="1">
    <w:name w:val="Default Paragraph Font"/>
    <w:uiPriority w:val="1"/>
    <w:semiHidden/>
    <w:unhideWhenUsed/>
    <w:qFormat/>
    <w:rPr/>
  </w:style>
  <w:style w:type="character" w:styleId="berschrift4Zchn" w:customStyle="1">
    <w:name w:val="Überschrift 4 Zchn"/>
    <w:basedOn w:val="DefaultParagraphFont"/>
    <w:link w:val="Heading4"/>
    <w:uiPriority w:val="9"/>
    <w:qFormat/>
    <w:rsid w:val="00fa1bf0"/>
    <w:rPr>
      <w:rFonts w:ascii="Arial" w:hAnsi="Arial" w:eastAsia="" w:cs="" w:cstheme="majorBidi" w:eastAsiaTheme="majorEastAsia"/>
      <w:b/>
      <w:i/>
      <w:iCs/>
      <w:sz w:val="22"/>
      <w:szCs w:val="22"/>
      <w:lang w:eastAsia="zh-CN"/>
    </w:rPr>
  </w:style>
  <w:style w:type="character" w:styleId="berschrift3Zchn" w:customStyle="1">
    <w:name w:val="Überschrift 3 Zchn"/>
    <w:basedOn w:val="DefaultParagraphFont"/>
    <w:link w:val="Heading3"/>
    <w:uiPriority w:val="9"/>
    <w:qFormat/>
    <w:rsid w:val="00fa1bf0"/>
    <w:rPr>
      <w:rFonts w:ascii="Arial" w:hAnsi="Arial" w:eastAsia="" w:cs="" w:cstheme="majorBidi" w:eastAsiaTheme="majorEastAsia"/>
      <w:b/>
      <w:sz w:val="22"/>
      <w:szCs w:val="24"/>
      <w:lang w:eastAsia="zh-CN"/>
    </w:rPr>
  </w:style>
  <w:style w:type="character" w:styleId="berschrift1Zchn" w:customStyle="1">
    <w:name w:val="Überschrift 1 Zchn"/>
    <w:basedOn w:val="DefaultParagraphFont"/>
    <w:link w:val="Heading1"/>
    <w:uiPriority w:val="9"/>
    <w:qFormat/>
    <w:rsid w:val="00fa1bf0"/>
    <w:rPr>
      <w:rFonts w:ascii="Arial" w:hAnsi="Arial" w:eastAsia="" w:cs="" w:cstheme="minorBidi" w:eastAsiaTheme="minorEastAsia"/>
      <w:b/>
      <w:sz w:val="28"/>
      <w:szCs w:val="22"/>
      <w:lang w:eastAsia="zh-CN"/>
    </w:rPr>
  </w:style>
  <w:style w:type="character" w:styleId="berschrift2Zchn" w:customStyle="1">
    <w:name w:val="Überschrift 2 Zchn"/>
    <w:basedOn w:val="DefaultParagraphFont"/>
    <w:link w:val="Heading2"/>
    <w:uiPriority w:val="9"/>
    <w:qFormat/>
    <w:rsid w:val="00fa1bf0"/>
    <w:rPr>
      <w:rFonts w:ascii="Arial" w:hAnsi="Arial" w:eastAsia="Calibri" w:cs="" w:cstheme="majorBidi"/>
      <w:b/>
      <w:sz w:val="24"/>
      <w:szCs w:val="26"/>
      <w:lang w:eastAsia="zh-CN"/>
    </w:rPr>
  </w:style>
  <w:style w:type="character" w:styleId="PlaceholderText">
    <w:name w:val="Placeholder Text"/>
    <w:uiPriority w:val="99"/>
    <w:semiHidden/>
    <w:qFormat/>
    <w:rsid w:val="009e4db8"/>
    <w:rPr>
      <w:color w:val="808080"/>
    </w:rPr>
  </w:style>
  <w:style w:type="character" w:styleId="SprechblasentextZchn" w:customStyle="1">
    <w:name w:val="Sprechblasentext Zchn"/>
    <w:basedOn w:val="DefaultParagraphFont"/>
    <w:link w:val="BalloonText"/>
    <w:uiPriority w:val="99"/>
    <w:semiHidden/>
    <w:qFormat/>
    <w:rsid w:val="00fa1bf0"/>
    <w:rPr>
      <w:rFonts w:ascii="Segoe UI" w:hAnsi="Segoe UI" w:eastAsia="" w:cs="Segoe UI" w:eastAsiaTheme="minorEastAsia"/>
      <w:sz w:val="18"/>
      <w:szCs w:val="18"/>
      <w:lang w:eastAsia="zh-CN"/>
    </w:rPr>
  </w:style>
  <w:style w:type="character" w:styleId="annotationreference">
    <w:name w:val="annotation reference"/>
    <w:basedOn w:val="DefaultParagraphFont"/>
    <w:uiPriority w:val="99"/>
    <w:semiHidden/>
    <w:unhideWhenUsed/>
    <w:qFormat/>
    <w:rsid w:val="00fa1bf0"/>
    <w:rPr>
      <w:sz w:val="16"/>
      <w:szCs w:val="16"/>
    </w:rPr>
  </w:style>
  <w:style w:type="character" w:styleId="KommentartextZchn" w:customStyle="1">
    <w:name w:val="Kommentartext Zchn"/>
    <w:basedOn w:val="DefaultParagraphFont"/>
    <w:link w:val="AnnotationText"/>
    <w:uiPriority w:val="99"/>
    <w:qFormat/>
    <w:rsid w:val="00fa1bf0"/>
    <w:rPr>
      <w:rFonts w:ascii="Arial" w:hAnsi="Arial" w:eastAsia="" w:cs="" w:cstheme="minorBidi" w:eastAsiaTheme="minorEastAsia"/>
      <w:lang w:eastAsia="zh-CN"/>
    </w:rPr>
  </w:style>
  <w:style w:type="character" w:styleId="KommentarthemaZchn" w:customStyle="1">
    <w:name w:val="Kommentarthema Zchn"/>
    <w:basedOn w:val="KommentartextZchn"/>
    <w:link w:val="annotationsubject"/>
    <w:uiPriority w:val="99"/>
    <w:semiHidden/>
    <w:qFormat/>
    <w:rsid w:val="00fa1bf0"/>
    <w:rPr>
      <w:rFonts w:ascii="Arial" w:hAnsi="Arial" w:eastAsia="" w:cs="" w:cstheme="minorBidi" w:eastAsiaTheme="minorEastAsia"/>
      <w:b/>
      <w:bCs/>
      <w:lang w:eastAsia="zh-CN"/>
    </w:rPr>
  </w:style>
  <w:style w:type="character" w:styleId="KopfzeileZchn" w:customStyle="1">
    <w:name w:val="Kopfzeile Zchn"/>
    <w:basedOn w:val="DefaultParagraphFont"/>
    <w:link w:val="Header"/>
    <w:uiPriority w:val="99"/>
    <w:qFormat/>
    <w:rsid w:val="00fa1bf0"/>
    <w:rPr>
      <w:rFonts w:ascii="Arial" w:hAnsi="Arial" w:eastAsia="" w:cs="" w:cstheme="minorBidi" w:eastAsiaTheme="minorEastAsia"/>
      <w:sz w:val="22"/>
      <w:szCs w:val="22"/>
      <w:lang w:eastAsia="zh-CN"/>
    </w:rPr>
  </w:style>
  <w:style w:type="character" w:styleId="FuzeileZchn" w:customStyle="1">
    <w:name w:val="Fußzeile Zchn"/>
    <w:basedOn w:val="DefaultParagraphFont"/>
    <w:link w:val="Footer"/>
    <w:uiPriority w:val="99"/>
    <w:qFormat/>
    <w:rsid w:val="00fa1bf0"/>
    <w:rPr>
      <w:rFonts w:ascii="Arial" w:hAnsi="Arial" w:eastAsia="" w:cs="" w:cstheme="minorBidi" w:eastAsiaTheme="minorEastAsia"/>
      <w:sz w:val="22"/>
      <w:szCs w:val="22"/>
      <w:lang w:eastAsia="zh-CN"/>
    </w:rPr>
  </w:style>
  <w:style w:type="character" w:styleId="DokumentstrukturZchn" w:customStyle="1">
    <w:name w:val="Dokumentstruktur Zchn"/>
    <w:link w:val="DocumentMap"/>
    <w:uiPriority w:val="99"/>
    <w:semiHidden/>
    <w:qFormat/>
    <w:rsid w:val="00924fd6"/>
    <w:rPr>
      <w:rFonts w:ascii="Tahoma" w:hAnsi="Tahoma" w:eastAsia="Times New Roman" w:cs="Tahoma"/>
      <w:sz w:val="16"/>
      <w:szCs w:val="16"/>
      <w:lang w:val="en-US" w:eastAsia="en-US" w:bidi="en-US"/>
    </w:rPr>
  </w:style>
  <w:style w:type="character" w:styleId="LineNumber">
    <w:name w:val="Line Number"/>
    <w:basedOn w:val="DefaultParagraphFont"/>
    <w:uiPriority w:val="99"/>
    <w:semiHidden/>
    <w:unhideWhenUsed/>
    <w:rsid w:val="00fa1bf0"/>
    <w:rPr/>
  </w:style>
  <w:style w:type="character" w:styleId="HinweistextblauZchn" w:customStyle="1">
    <w:name w:val="Hinweistext blau Zchn"/>
    <w:link w:val="Hinweistextblau"/>
    <w:qFormat/>
    <w:rsid w:val="00bc42fe"/>
    <w:rPr>
      <w:rFonts w:ascii="Arial" w:hAnsi="Arial" w:cs="Cambria"/>
      <w:i/>
      <w:color w:themeColor="accent1" w:themeShade="80" w:val="1F4E79"/>
      <w:sz w:val="22"/>
      <w:szCs w:val="22"/>
      <w:u w:val="none" w:color="000000"/>
    </w:rPr>
  </w:style>
  <w:style w:type="character" w:styleId="StandardHinweistextZchn" w:customStyle="1">
    <w:name w:val="Standard_Hinweistext Zchn"/>
    <w:link w:val="StandardHinweistext"/>
    <w:qFormat/>
    <w:rsid w:val="00be247a"/>
    <w:rPr>
      <w:rFonts w:ascii="Cambria" w:hAnsi="Cambria" w:cs="Cambria"/>
      <w:color w:val="000000"/>
      <w:sz w:val="22"/>
      <w:szCs w:val="22"/>
      <w:u w:val="none" w:color="000000"/>
      <w:lang w:val="en-US"/>
    </w:rPr>
  </w:style>
  <w:style w:type="character" w:styleId="FunotentextZchn" w:customStyle="1">
    <w:name w:val="Fußnotentext Zchn"/>
    <w:basedOn w:val="DefaultParagraphFont"/>
    <w:link w:val="FootnoteText"/>
    <w:uiPriority w:val="99"/>
    <w:semiHidden/>
    <w:qFormat/>
    <w:rsid w:val="00fa1bf0"/>
    <w:rPr>
      <w:rFonts w:ascii="Arial" w:hAnsi="Arial" w:eastAsia="Times New Roman"/>
      <w:lang w:val="en-US" w:eastAsia="en-US" w:bidi="en-US"/>
    </w:rPr>
  </w:style>
  <w:style w:type="character" w:styleId="FootnoteCharacters">
    <w:name w:val="Footnote Characters"/>
    <w:uiPriority w:val="99"/>
    <w:semiHidden/>
    <w:unhideWhenUsed/>
    <w:qFormat/>
    <w:rsid w:val="00fa1bf0"/>
    <w:rPr>
      <w:vertAlign w:val="superscript"/>
    </w:rPr>
  </w:style>
  <w:style w:type="character" w:styleId="FootnoteReference">
    <w:name w:val="Footnote Reference"/>
    <w:rPr>
      <w:vertAlign w:val="superscript"/>
    </w:rPr>
  </w:style>
  <w:style w:type="character" w:styleId="Hyperlink">
    <w:name w:val="Hyperlink"/>
    <w:uiPriority w:val="99"/>
    <w:unhideWhenUsed/>
    <w:rsid w:val="00fa1bf0"/>
    <w:rPr>
      <w:color w:val="0563C1"/>
      <w:u w:val="single"/>
    </w:rPr>
  </w:style>
  <w:style w:type="character" w:styleId="apple-converted-space" w:customStyle="1">
    <w:name w:val="apple-converted-space"/>
    <w:basedOn w:val="DefaultParagraphFont"/>
    <w:qFormat/>
    <w:rsid w:val="00fa1bf0"/>
    <w:rPr/>
  </w:style>
  <w:style w:type="character" w:styleId="ListenabsatzZchn" w:customStyle="1">
    <w:name w:val="Listenabsatz Zchn"/>
    <w:basedOn w:val="DefaultParagraphFont"/>
    <w:link w:val="ListParagraph"/>
    <w:uiPriority w:val="34"/>
    <w:qFormat/>
    <w:rsid w:val="00fa1bf0"/>
    <w:rPr>
      <w:rFonts w:ascii="Arial" w:hAnsi="Arial" w:eastAsia="" w:cs="" w:cstheme="minorBidi" w:eastAsiaTheme="minorEastAsia"/>
      <w:sz w:val="22"/>
      <w:szCs w:val="22"/>
      <w:lang w:eastAsia="zh-CN"/>
    </w:rPr>
  </w:style>
  <w:style w:type="character" w:styleId="AufzhlungZchn" w:customStyle="1">
    <w:name w:val="Aufzählung Zchn"/>
    <w:basedOn w:val="ListenabsatzZchn"/>
    <w:link w:val="Aufzhlung"/>
    <w:qFormat/>
    <w:rsid w:val="00fa1bf0"/>
    <w:rPr>
      <w:rFonts w:ascii="Arial" w:hAnsi="Arial" w:eastAsia="" w:cs="" w:cstheme="minorBidi" w:eastAsiaTheme="minorEastAsia"/>
      <w:sz w:val="22"/>
      <w:szCs w:val="22"/>
      <w:lang w:eastAsia="zh-CN"/>
    </w:rPr>
  </w:style>
  <w:style w:type="character" w:styleId="Aufzhlung2EbeneZchn" w:customStyle="1">
    <w:name w:val="Aufzählung 2. Ebene Zchn"/>
    <w:basedOn w:val="ListenabsatzZchn"/>
    <w:link w:val="Aufzhlung2Ebene"/>
    <w:qFormat/>
    <w:rsid w:val="00fa1bf0"/>
    <w:rPr>
      <w:rFonts w:ascii="Arial" w:hAnsi="Arial" w:eastAsia="" w:cs="Arial" w:eastAsiaTheme="minorEastAsia"/>
      <w:sz w:val="22"/>
      <w:szCs w:val="22"/>
      <w:lang w:eastAsia="zh-CN"/>
    </w:rPr>
  </w:style>
  <w:style w:type="character" w:styleId="FollowedHyperlink">
    <w:name w:val="FollowedHyperlink"/>
    <w:basedOn w:val="DefaultParagraphFont"/>
    <w:uiPriority w:val="99"/>
    <w:semiHidden/>
    <w:unhideWhenUsed/>
    <w:rsid w:val="00fa1bf0"/>
    <w:rPr>
      <w:color w:themeColor="followedHyperlink" w:val="954F72"/>
      <w:u w:val="single"/>
    </w:rPr>
  </w:style>
  <w:style w:type="character" w:styleId="endorsed" w:customStyle="1">
    <w:name w:val="endorsed"/>
    <w:basedOn w:val="DefaultParagraphFont"/>
    <w:qFormat/>
    <w:rsid w:val="00fa1bf0"/>
    <w:rPr/>
  </w:style>
  <w:style w:type="character" w:styleId="berschrift5Zchn" w:customStyle="1">
    <w:name w:val="Überschrift 5 Zchn"/>
    <w:basedOn w:val="DefaultParagraphFont"/>
    <w:link w:val="Heading5"/>
    <w:uiPriority w:val="9"/>
    <w:qFormat/>
    <w:rsid w:val="00fa1bf0"/>
    <w:rPr>
      <w:rFonts w:ascii="Arial" w:hAnsi="Arial" w:eastAsia="" w:cs="" w:cstheme="majorBidi" w:eastAsiaTheme="majorEastAsia"/>
      <w:b/>
      <w:sz w:val="22"/>
      <w:szCs w:val="22"/>
      <w:lang w:eastAsia="zh-CN"/>
    </w:rPr>
  </w:style>
  <w:style w:type="character" w:styleId="UnresolvedMention">
    <w:name w:val="Unresolved Mention"/>
    <w:basedOn w:val="DefaultParagraphFont"/>
    <w:uiPriority w:val="99"/>
    <w:semiHidden/>
    <w:unhideWhenUsed/>
    <w:qFormat/>
    <w:rsid w:val="00fa1bf0"/>
    <w:rPr>
      <w:color w:val="605E5C"/>
      <w:shd w:fill="E1DFDD" w:val="clear"/>
    </w:rPr>
  </w:style>
  <w:style w:type="character" w:styleId="TitelZchn" w:customStyle="1">
    <w:name w:val="Titel Zchn"/>
    <w:basedOn w:val="DefaultParagraphFont"/>
    <w:link w:val="Title"/>
    <w:uiPriority w:val="10"/>
    <w:qFormat/>
    <w:rsid w:val="00fa1bf0"/>
    <w:rPr>
      <w:rFonts w:ascii="Arial" w:hAnsi="Arial" w:eastAsia="" w:cs="" w:cstheme="minorBidi" w:eastAsiaTheme="minorEastAsia"/>
      <w:b/>
      <w:sz w:val="28"/>
      <w:szCs w:val="22"/>
      <w:lang w:eastAsia="zh-CN"/>
    </w:rPr>
  </w:style>
  <w:style w:type="character" w:styleId="Verzeichnis1Zchn" w:customStyle="1">
    <w:name w:val="Verzeichnis 1 Zchn"/>
    <w:basedOn w:val="DefaultParagraphFont"/>
    <w:link w:val="TOC1"/>
    <w:uiPriority w:val="39"/>
    <w:qFormat/>
    <w:rsid w:val="00fa1bf0"/>
    <w:rPr>
      <w:rFonts w:ascii="Arial" w:hAnsi="Arial" w:eastAsia="" w:cs="" w:cstheme="minorBidi" w:eastAsiaTheme="minorEastAsia"/>
      <w:b/>
      <w:sz w:val="22"/>
      <w:szCs w:val="22"/>
      <w:lang w:eastAsia="zh-CN"/>
    </w:rPr>
  </w:style>
  <w:style w:type="character" w:styleId="UntertitelZchn" w:customStyle="1">
    <w:name w:val="Untertitel Zchn"/>
    <w:basedOn w:val="DefaultParagraphFont"/>
    <w:link w:val="Subtitle"/>
    <w:uiPriority w:val="11"/>
    <w:qFormat/>
    <w:rsid w:val="002f6071"/>
    <w:rPr>
      <w:rFonts w:ascii="Arial" w:hAnsi="Arial" w:eastAsia="" w:cs="" w:cstheme="minorBidi" w:eastAsiaTheme="minorEastAsia"/>
      <w:b/>
      <w:sz w:val="28"/>
      <w:szCs w:val="22"/>
      <w:lang w:eastAsia="zh-CN"/>
    </w:rPr>
  </w:style>
  <w:style w:type="character" w:styleId="EndnoteCharacters">
    <w:name w:val="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TOC2">
    <w:name w:val="TOC 2"/>
    <w:basedOn w:val="Normal"/>
    <w:next w:val="Normal"/>
    <w:autoRedefine/>
    <w:uiPriority w:val="39"/>
    <w:unhideWhenUsed/>
    <w:rsid w:val="00fa1bf0"/>
    <w:pPr>
      <w:suppressLineNumbers/>
      <w:tabs>
        <w:tab w:val="clear" w:pos="708"/>
        <w:tab w:val="left" w:pos="880" w:leader="none"/>
        <w:tab w:val="right" w:pos="9060" w:leader="dot"/>
      </w:tabs>
      <w:spacing w:before="40" w:after="40"/>
      <w:ind w:left="425"/>
    </w:pPr>
    <w:rPr/>
  </w:style>
  <w:style w:type="paragraph" w:styleId="Zitiat" w:customStyle="1">
    <w:name w:val="Zitiat"/>
    <w:basedOn w:val="Normal"/>
    <w:qFormat/>
    <w:rsid w:val="00a7515e"/>
    <w:pPr>
      <w:ind w:left="567" w:right="567"/>
      <w:mirrorIndents/>
    </w:pPr>
    <w:rPr>
      <w:rFonts w:ascii="Cambria-Italic" w:hAnsi="Cambria-Italic" w:cs="Cambria-Italic"/>
      <w:i/>
      <w:iCs/>
    </w:rPr>
  </w:style>
  <w:style w:type="paragraph" w:styleId="TOC4">
    <w:name w:val="TOC 4"/>
    <w:basedOn w:val="Normal"/>
    <w:next w:val="Normal"/>
    <w:autoRedefine/>
    <w:uiPriority w:val="39"/>
    <w:unhideWhenUsed/>
    <w:rsid w:val="00a7515e"/>
    <w:pPr>
      <w:tabs>
        <w:tab w:val="clear" w:pos="708"/>
        <w:tab w:val="left" w:pos="2268" w:leader="none"/>
        <w:tab w:val="right" w:pos="9487" w:leader="dot"/>
      </w:tabs>
      <w:spacing w:before="120" w:after="100"/>
      <w:ind w:left="629"/>
      <w:outlineLvl w:val="3"/>
    </w:pPr>
    <w:rPr/>
  </w:style>
  <w:style w:type="paragraph" w:styleId="AufzhlungAnlagen" w:customStyle="1">
    <w:name w:val="Aufzählung Anlagen"/>
    <w:basedOn w:val="Normal"/>
    <w:qFormat/>
    <w:rsid w:val="00a7515e"/>
    <w:pPr>
      <w:numPr>
        <w:ilvl w:val="0"/>
        <w:numId w:val="1"/>
      </w:numPr>
      <w:spacing w:before="120" w:after="120"/>
      <w:contextualSpacing/>
    </w:pPr>
    <w:rPr/>
  </w:style>
  <w:style w:type="paragraph" w:styleId="Anlagen" w:customStyle="1">
    <w:name w:val="Anlagen"/>
    <w:basedOn w:val="Normal"/>
    <w:qFormat/>
    <w:rsid w:val="00e44ed8"/>
    <w:pPr>
      <w:numPr>
        <w:ilvl w:val="0"/>
        <w:numId w:val="2"/>
      </w:numPr>
      <w:tabs>
        <w:tab w:val="clear" w:pos="708"/>
        <w:tab w:val="left" w:pos="2127" w:leader="none"/>
      </w:tabs>
      <w:spacing w:before="120" w:after="60"/>
    </w:pPr>
    <w:rPr/>
  </w:style>
  <w:style w:type="paragraph" w:styleId="NoSpacing">
    <w:name w:val="No Spacing"/>
    <w:uiPriority w:val="1"/>
    <w:qFormat/>
    <w:rsid w:val="00fa1bf0"/>
    <w:pPr>
      <w:widowControl w:val="false"/>
      <w:suppressAutoHyphens w:val="true"/>
      <w:bidi w:val="0"/>
      <w:spacing w:before="0" w:after="0"/>
      <w:jc w:val="both"/>
    </w:pPr>
    <w:rPr>
      <w:rFonts w:ascii="Arial" w:hAnsi="Arial" w:eastAsia="" w:cs="" w:cstheme="minorBidi" w:eastAsiaTheme="minorEastAsia"/>
      <w:color w:val="auto"/>
      <w:kern w:val="0"/>
      <w:sz w:val="22"/>
      <w:szCs w:val="22"/>
      <w:lang w:val="de-DE" w:eastAsia="zh-CN" w:bidi="ar-SA"/>
    </w:rPr>
  </w:style>
  <w:style w:type="paragraph" w:styleId="Default" w:customStyle="1">
    <w:name w:val="Default"/>
    <w:qFormat/>
    <w:rsid w:val="00fa1bf0"/>
    <w:pPr>
      <w:widowControl/>
      <w:suppressAutoHyphens w:val="true"/>
      <w:bidi w:val="0"/>
      <w:spacing w:before="0" w:after="0"/>
      <w:jc w:val="left"/>
    </w:pPr>
    <w:rPr>
      <w:rFonts w:ascii="Arial" w:hAnsi="Arial" w:eastAsia="Calibri" w:cs="Arial" w:eastAsiaTheme="minorHAnsi"/>
      <w:color w:val="000000"/>
      <w:kern w:val="0"/>
      <w:sz w:val="24"/>
      <w:szCs w:val="24"/>
      <w:lang w:val="de-DE" w:eastAsia="en-US" w:bidi="ar-SA"/>
    </w:rPr>
  </w:style>
  <w:style w:type="paragraph" w:styleId="BalloonText">
    <w:name w:val="Balloon Text"/>
    <w:basedOn w:val="Normal"/>
    <w:link w:val="SprechblasentextZchn"/>
    <w:uiPriority w:val="99"/>
    <w:semiHidden/>
    <w:unhideWhenUsed/>
    <w:qFormat/>
    <w:rsid w:val="00fa1bf0"/>
    <w:pPr>
      <w:spacing w:lineRule="auto" w:line="240" w:before="120" w:after="0"/>
    </w:pPr>
    <w:rPr>
      <w:rFonts w:ascii="Segoe UI" w:hAnsi="Segoe UI" w:cs="Segoe UI"/>
      <w:sz w:val="18"/>
      <w:szCs w:val="18"/>
    </w:rPr>
  </w:style>
  <w:style w:type="paragraph" w:styleId="AnnotationText">
    <w:name w:val="Annotation Text"/>
    <w:basedOn w:val="Normal"/>
    <w:link w:val="KommentartextZchn"/>
    <w:uiPriority w:val="99"/>
    <w:unhideWhenUsed/>
    <w:rsid w:val="00fa1bf0"/>
    <w:pPr>
      <w:spacing w:lineRule="auto" w:line="240"/>
    </w:pPr>
    <w:rPr>
      <w:sz w:val="20"/>
      <w:szCs w:val="20"/>
    </w:rPr>
  </w:style>
  <w:style w:type="paragraph" w:styleId="annotationsubject">
    <w:name w:val="annotation subject"/>
    <w:basedOn w:val="AnnotationText"/>
    <w:next w:val="AnnotationText"/>
    <w:link w:val="KommentarthemaZchn"/>
    <w:uiPriority w:val="99"/>
    <w:semiHidden/>
    <w:unhideWhenUsed/>
    <w:qFormat/>
    <w:rsid w:val="00fa1bf0"/>
    <w:pPr/>
    <w:rPr>
      <w:b/>
      <w:bCs/>
    </w:rPr>
  </w:style>
  <w:style w:type="paragraph" w:styleId="HeaderandFooter">
    <w:name w:val="Header and Footer"/>
    <w:basedOn w:val="Normal"/>
    <w:qFormat/>
    <w:pPr/>
    <w:rPr/>
  </w:style>
  <w:style w:type="paragraph" w:styleId="Header">
    <w:name w:val="Header"/>
    <w:basedOn w:val="Normal"/>
    <w:link w:val="KopfzeileZchn"/>
    <w:uiPriority w:val="99"/>
    <w:unhideWhenUsed/>
    <w:rsid w:val="00fa1bf0"/>
    <w:pPr>
      <w:tabs>
        <w:tab w:val="clear" w:pos="708"/>
        <w:tab w:val="center" w:pos="4536" w:leader="none"/>
        <w:tab w:val="right" w:pos="9072" w:leader="none"/>
      </w:tabs>
      <w:spacing w:lineRule="auto" w:line="240" w:before="120" w:after="0"/>
    </w:pPr>
    <w:rPr/>
  </w:style>
  <w:style w:type="paragraph" w:styleId="Footer">
    <w:name w:val="Footer"/>
    <w:basedOn w:val="Normal"/>
    <w:link w:val="FuzeileZchn"/>
    <w:uiPriority w:val="99"/>
    <w:unhideWhenUsed/>
    <w:rsid w:val="00fa1bf0"/>
    <w:pPr>
      <w:tabs>
        <w:tab w:val="clear" w:pos="708"/>
        <w:tab w:val="center" w:pos="4536" w:leader="none"/>
        <w:tab w:val="right" w:pos="9072" w:leader="none"/>
      </w:tabs>
      <w:spacing w:lineRule="auto" w:line="240" w:before="120" w:after="0"/>
    </w:pPr>
    <w:rPr/>
  </w:style>
  <w:style w:type="paragraph" w:styleId="DocumentMap">
    <w:name w:val="Document Map"/>
    <w:basedOn w:val="Normal"/>
    <w:link w:val="DokumentstrukturZchn"/>
    <w:uiPriority w:val="99"/>
    <w:semiHidden/>
    <w:unhideWhenUsed/>
    <w:qFormat/>
    <w:rsid w:val="00924fd6"/>
    <w:pPr/>
    <w:rPr>
      <w:rFonts w:ascii="Tahoma" w:hAnsi="Tahoma" w:cs="Tahoma"/>
      <w:sz w:val="16"/>
      <w:szCs w:val="16"/>
    </w:rPr>
  </w:style>
  <w:style w:type="paragraph" w:styleId="ListParagraph">
    <w:name w:val="List Paragraph"/>
    <w:basedOn w:val="Normal"/>
    <w:link w:val="ListenabsatzZchn"/>
    <w:uiPriority w:val="34"/>
    <w:qFormat/>
    <w:rsid w:val="00fa1bf0"/>
    <w:pPr>
      <w:ind w:left="720"/>
    </w:pPr>
    <w:rPr/>
  </w:style>
  <w:style w:type="paragraph" w:styleId="Erluterungstext" w:customStyle="1">
    <w:name w:val="Erläuterungstext"/>
    <w:basedOn w:val="Normal"/>
    <w:qFormat/>
    <w:rsid w:val="002866d0"/>
    <w:pPr/>
    <w:rPr>
      <w:i/>
      <w:color w:val="1F4E79"/>
    </w:rPr>
  </w:style>
  <w:style w:type="paragraph" w:styleId="Hinweistextblau" w:customStyle="1">
    <w:name w:val="Hinweistext blau"/>
    <w:basedOn w:val="Normal"/>
    <w:link w:val="HinweistextblauZchn"/>
    <w:qFormat/>
    <w:rsid w:val="00bc42fe"/>
    <w:pPr>
      <w:widowControl/>
      <w:spacing w:lineRule="auto" w:line="276" w:before="0" w:after="120"/>
    </w:pPr>
    <w:rPr>
      <w:rFonts w:eastAsia="Cambria" w:cs="Cambria"/>
      <w:i/>
      <w:color w:themeColor="accent1" w:themeShade="80" w:val="1F4E79"/>
      <w:u w:val="none" w:color="000000"/>
      <w:lang w:eastAsia="de-DE"/>
    </w:rPr>
  </w:style>
  <w:style w:type="paragraph" w:styleId="StandardHinweistext" w:customStyle="1">
    <w:name w:val="Standard_Hinweistext"/>
    <w:basedOn w:val="Normal"/>
    <w:link w:val="StandardHinweistextZchn"/>
    <w:qFormat/>
    <w:rsid w:val="00be247a"/>
    <w:pPr/>
    <w:rPr>
      <w:rFonts w:eastAsia="Cambria" w:cs="Cambria"/>
      <w:color w:val="000000"/>
      <w:u w:val="none" w:color="000000"/>
      <w:lang w:eastAsia="de-DE"/>
    </w:rPr>
  </w:style>
  <w:style w:type="paragraph" w:styleId="Zwischenberschrift" w:customStyle="1">
    <w:name w:val="Zwischenüberschrift"/>
    <w:basedOn w:val="Heading4"/>
    <w:qFormat/>
    <w:rsid w:val="00fa1bf0"/>
    <w:pPr>
      <w:keepNext w:val="true"/>
      <w:spacing w:before="240" w:after="120"/>
      <w:outlineLvl w:val="4"/>
    </w:pPr>
    <w:rPr>
      <w:b w:val="false"/>
      <w:i w:val="false"/>
      <w:color w:themeColor="text1" w:val="000000"/>
      <w:u w:val="single"/>
    </w:rPr>
  </w:style>
  <w:style w:type="paragraph" w:styleId="FootnoteText">
    <w:name w:val="Footnote Text"/>
    <w:basedOn w:val="Normal"/>
    <w:link w:val="FunotentextZchn"/>
    <w:uiPriority w:val="99"/>
    <w:semiHidden/>
    <w:unhideWhenUsed/>
    <w:rsid w:val="00fa1bf0"/>
    <w:pPr>
      <w:widowControl/>
    </w:pPr>
    <w:rPr>
      <w:rFonts w:eastAsia="Times New Roman" w:cs="Times New Roman"/>
      <w:sz w:val="20"/>
      <w:szCs w:val="20"/>
      <w:lang w:val="en-US" w:eastAsia="en-US" w:bidi="en-US"/>
    </w:rPr>
  </w:style>
  <w:style w:type="paragraph" w:styleId="Revision">
    <w:name w:val="Revision"/>
    <w:uiPriority w:val="99"/>
    <w:semiHidden/>
    <w:qFormat/>
    <w:rsid w:val="000f7557"/>
    <w:pPr>
      <w:widowControl/>
      <w:suppressAutoHyphens w:val="true"/>
      <w:bidi w:val="0"/>
      <w:spacing w:before="0" w:after="0"/>
      <w:jc w:val="left"/>
    </w:pPr>
    <w:rPr>
      <w:rFonts w:ascii="Cambria" w:hAnsi="Cambria" w:eastAsia="Times New Roman" w:cs="Times New Roman"/>
      <w:color w:val="auto"/>
      <w:kern w:val="0"/>
      <w:sz w:val="22"/>
      <w:szCs w:val="22"/>
      <w:lang w:val="en-US" w:eastAsia="en-US" w:bidi="en-US"/>
    </w:rPr>
  </w:style>
  <w:style w:type="paragraph" w:styleId="Aufzhlung" w:customStyle="1">
    <w:name w:val="Aufzählung"/>
    <w:basedOn w:val="ListParagraph"/>
    <w:link w:val="AufzhlungZchn"/>
    <w:qFormat/>
    <w:rsid w:val="00fa1bf0"/>
    <w:pPr>
      <w:keepLines/>
      <w:spacing w:before="120" w:after="120"/>
      <w:ind w:left="0"/>
      <w:contextualSpacing/>
    </w:pPr>
    <w:rPr/>
  </w:style>
  <w:style w:type="paragraph" w:styleId="Aufzhlung2Ebene" w:customStyle="1">
    <w:name w:val="Aufzählung 2. Ebene"/>
    <w:basedOn w:val="ListParagraph"/>
    <w:link w:val="Aufzhlung2EbeneZchn"/>
    <w:qFormat/>
    <w:rsid w:val="00fa1bf0"/>
    <w:pPr>
      <w:keepNext w:val="true"/>
      <w:keepLines/>
      <w:widowControl/>
      <w:numPr>
        <w:ilvl w:val="1"/>
        <w:numId w:val="4"/>
      </w:numPr>
      <w:spacing w:lineRule="auto" w:line="259" w:before="120" w:after="160"/>
      <w:contextualSpacing/>
      <w:jc w:val="left"/>
    </w:pPr>
    <w:rPr>
      <w:rFonts w:cs="Arial"/>
    </w:rPr>
  </w:style>
  <w:style w:type="paragraph" w:styleId="aufzhlung2ebene1" w:customStyle="1">
    <w:name w:val="aufzhlung2ebene"/>
    <w:basedOn w:val="Normal"/>
    <w:qFormat/>
    <w:rsid w:val="00fa1bf0"/>
    <w:pPr>
      <w:widowControl/>
      <w:spacing w:lineRule="auto" w:line="240" w:beforeAutospacing="1" w:afterAutospacing="1"/>
      <w:jc w:val="left"/>
    </w:pPr>
    <w:rPr>
      <w:rFonts w:ascii="Calibri" w:hAnsi="Calibri" w:eastAsia="Calibri" w:cs="Calibri" w:eastAsiaTheme="minorHAnsi"/>
      <w:lang w:eastAsia="de-DE"/>
    </w:rPr>
  </w:style>
  <w:style w:type="paragraph" w:styleId="Formatvorlage1" w:customStyle="1">
    <w:name w:val="Formatvorlage1"/>
    <w:basedOn w:val="Heading5"/>
    <w:qFormat/>
    <w:rsid w:val="00fa1bf0"/>
    <w:pPr>
      <w:tabs>
        <w:tab w:val="clear" w:pos="708"/>
        <w:tab w:val="left" w:pos="284" w:leader="none"/>
      </w:tabs>
      <w:ind w:hanging="357" w:left="357"/>
      <w:jc w:val="left"/>
    </w:pPr>
    <w:rPr>
      <w:b w:val="false"/>
    </w:rPr>
  </w:style>
  <w:style w:type="paragraph" w:styleId="Hinweistext" w:customStyle="1">
    <w:name w:val="Hinweistext"/>
    <w:basedOn w:val="Normal"/>
    <w:qFormat/>
    <w:rsid w:val="00fa1bf0"/>
    <w:pPr>
      <w:jc w:val="left"/>
    </w:pPr>
    <w:rPr>
      <w:i/>
      <w:color w:val="FF0000"/>
    </w:rPr>
  </w:style>
  <w:style w:type="paragraph" w:styleId="IndexHeading">
    <w:name w:val="Index Heading"/>
    <w:basedOn w:val="Heading"/>
    <w:pPr/>
    <w:rPr/>
  </w:style>
  <w:style w:type="paragraph" w:styleId="TOCHeading">
    <w:name w:val="TOC Heading"/>
    <w:basedOn w:val="Heading1"/>
    <w:next w:val="Normal"/>
    <w:uiPriority w:val="39"/>
    <w:unhideWhenUsed/>
    <w:qFormat/>
    <w:rsid w:val="00fa1bf0"/>
    <w:pPr>
      <w:numPr>
        <w:ilvl w:val="0"/>
        <w:numId w:val="0"/>
      </w:numPr>
      <w:spacing w:lineRule="auto" w:line="259" w:before="240" w:after="0"/>
      <w:outlineLvl w:val="9"/>
    </w:pPr>
    <w:rPr>
      <w:rFonts w:ascii="Calibri Light" w:hAnsi="Calibri Light" w:eastAsia="" w:cs="" w:asciiTheme="majorHAnsi" w:cstheme="majorBidi" w:eastAsiaTheme="majorEastAsia" w:hAnsiTheme="majorHAnsi"/>
      <w:b w:val="false"/>
      <w:color w:themeColor="accent1" w:themeShade="bf" w:val="2E74B5"/>
      <w:sz w:val="32"/>
      <w:szCs w:val="32"/>
    </w:rPr>
  </w:style>
  <w:style w:type="paragraph" w:styleId="Title">
    <w:name w:val="Title"/>
    <w:basedOn w:val="Heading1"/>
    <w:next w:val="Normal"/>
    <w:link w:val="TitelZchn"/>
    <w:uiPriority w:val="10"/>
    <w:qFormat/>
    <w:rsid w:val="00fa1bf0"/>
    <w:pPr>
      <w:numPr>
        <w:ilvl w:val="0"/>
        <w:numId w:val="0"/>
      </w:numPr>
    </w:pPr>
    <w:rPr/>
  </w:style>
  <w:style w:type="paragraph" w:styleId="TOC1">
    <w:name w:val="TOC 1"/>
    <w:basedOn w:val="Normal"/>
    <w:next w:val="Normal"/>
    <w:link w:val="Verzeichnis1Zchn"/>
    <w:autoRedefine/>
    <w:uiPriority w:val="39"/>
    <w:unhideWhenUsed/>
    <w:rsid w:val="00fa1bf0"/>
    <w:pPr>
      <w:suppressLineNumbers/>
      <w:tabs>
        <w:tab w:val="clear" w:pos="708"/>
        <w:tab w:val="left" w:pos="425" w:leader="none"/>
        <w:tab w:val="right" w:pos="9060" w:leader="dot"/>
      </w:tabs>
      <w:spacing w:before="120" w:after="100"/>
    </w:pPr>
    <w:rPr>
      <w:b/>
    </w:rPr>
  </w:style>
  <w:style w:type="paragraph" w:styleId="TOC3">
    <w:name w:val="TOC 3"/>
    <w:basedOn w:val="Normal"/>
    <w:next w:val="Normal"/>
    <w:autoRedefine/>
    <w:uiPriority w:val="39"/>
    <w:unhideWhenUsed/>
    <w:rsid w:val="00fa1bf0"/>
    <w:pPr>
      <w:spacing w:before="120" w:after="100"/>
      <w:ind w:left="440"/>
    </w:pPr>
    <w:rPr/>
  </w:style>
  <w:style w:type="paragraph" w:styleId="Subtitle">
    <w:name w:val="Subtitle"/>
    <w:basedOn w:val="Title"/>
    <w:next w:val="Normal"/>
    <w:link w:val="UntertitelZchn"/>
    <w:uiPriority w:val="11"/>
    <w:qFormat/>
    <w:rsid w:val="002f6071"/>
    <w:pPr>
      <w:spacing w:before="0" w:after="120"/>
    </w:pPr>
    <w:rPr/>
  </w:style>
  <w:style w:type="numbering" w:styleId="NoList" w:default="1">
    <w:name w:val="No List"/>
    <w:uiPriority w:val="99"/>
    <w:semiHidden/>
    <w:unhideWhenUsed/>
    <w:qFormat/>
  </w:style>
  <w:style w:type="numbering" w:styleId="berschriftenneu" w:customStyle="1">
    <w:name w:val="Überschriften_neu"/>
    <w:uiPriority w:val="99"/>
    <w:qFormat/>
    <w:rsid w:val="00fa1bf0"/>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39"/>
    <w:rsid w:val="00fa1bf0"/>
    <w:rPr>
      <w:rFonts w:asciiTheme="minorHAnsi" w:hAnsiTheme="minorHAnsi" w:eastAsiaTheme="minorHAnsi" w:cstheme="minorBidi"/>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glossaryDocument" Target="glossary/document.xml"/><Relationship Id="rId12" Type="http://schemas.openxmlformats.org/officeDocument/2006/relationships/customXml" Target="../customXml/item1.xml"/>
</Relationships>
</file>

<file path=word/_rels/footnotes.xml.rels><?xml version="1.0" encoding="UTF-8"?>
<Relationships xmlns="http://schemas.openxmlformats.org/package/2006/relationships"><Relationship Id="rId1" Type="http://schemas.openxmlformats.org/officeDocument/2006/relationships/hyperlink" Target="https://www.leibniz-gemeinschaft.de/fileadmin/documents/3456-3316/Handreichung_Kleine_strategische_tempora&#776;re_Institutserweiterungen_Beschluss_Pra&#776;sidium_2026_06_02_.pdf" TargetMode="Externa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1C544E6A3BB4A7EBC46099A9F439513"/>
        <w:category>
          <w:name w:val="Allgemein"/>
          <w:gallery w:val="placeholder"/>
        </w:category>
        <w:types>
          <w:type w:val="bbPlcHdr"/>
        </w:types>
        <w:behaviors>
          <w:behavior w:val="content"/>
        </w:behaviors>
        <w:guid w:val="{A28F2B37-6431-4133-9FAB-3ADF8EA7732E}"/>
      </w:docPartPr>
      <w:docPartBody>
        <w:p w:rsidR="005E7A54" w:rsidRDefault="006972B3" w:rsidP="006972B3">
          <w:pPr>
            <w:pStyle w:val="B1C544E6A3BB4A7EBC46099A9F439513"/>
          </w:pPr>
          <w:r w:rsidRPr="008D584A">
            <w:rPr>
              <w:rStyle w:val="Platzhaltertext"/>
            </w:rPr>
            <w:t>Wählen Sie ein Element aus.</w:t>
          </w:r>
        </w:p>
      </w:docPartBody>
    </w:docPart>
    <w:docPart>
      <w:docPartPr>
        <w:name w:val="BE0F689534A9435290901C1737E76275"/>
        <w:category>
          <w:name w:val="Allgemein"/>
          <w:gallery w:val="placeholder"/>
        </w:category>
        <w:types>
          <w:type w:val="bbPlcHdr"/>
        </w:types>
        <w:behaviors>
          <w:behavior w:val="content"/>
        </w:behaviors>
        <w:guid w:val="{6310A070-4AAA-435F-B5A0-9B0C4EB41148}"/>
      </w:docPartPr>
      <w:docPartBody>
        <w:p w:rsidR="00AC0C37" w:rsidRDefault="003516C5" w:rsidP="003516C5">
          <w:pPr>
            <w:pStyle w:val="BE0F689534A9435290901C1737E76275"/>
          </w:pPr>
          <w:r w:rsidRPr="008D584A">
            <w:rPr>
              <w:rStyle w:val="Platzhaltertext"/>
            </w:rPr>
            <w:t>Wählen Sie ein Element aus.</w:t>
          </w:r>
        </w:p>
      </w:docPartBody>
    </w:docPart>
    <w:docPart>
      <w:docPartPr>
        <w:name w:val="DefaultPlaceholder_-1854013438"/>
        <w:category>
          <w:name w:val="Allgemein"/>
          <w:gallery w:val="placeholder"/>
        </w:category>
        <w:types>
          <w:type w:val="bbPlcHdr"/>
        </w:types>
        <w:behaviors>
          <w:behavior w:val="content"/>
        </w:behaviors>
        <w:guid w:val="{AC07F7D5-3CAC-4EAE-9370-AE7C92B9186A}"/>
      </w:docPartPr>
      <w:docPartBody>
        <w:p w:rsidR="00AC0C37" w:rsidRDefault="003516C5">
          <w:r w:rsidRPr="000F09A1">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Italic">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2B3"/>
    <w:rsid w:val="003516C5"/>
    <w:rsid w:val="00504053"/>
    <w:rsid w:val="005E7A54"/>
    <w:rsid w:val="006972B3"/>
    <w:rsid w:val="00AC0C3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uiPriority w:val="99"/>
    <w:semiHidden/>
    <w:rsid w:val="003516C5"/>
    <w:rPr>
      <w:color w:val="808080"/>
    </w:rPr>
  </w:style>
  <w:style w:type="paragraph" w:customStyle="1" w:styleId="2795CE5273F14C149E6F03CC0C0CB5FB">
    <w:name w:val="2795CE5273F14C149E6F03CC0C0CB5FB"/>
    <w:rsid w:val="006972B3"/>
  </w:style>
  <w:style w:type="paragraph" w:customStyle="1" w:styleId="896D0515A85945B6989FBC2030F7A771">
    <w:name w:val="896D0515A85945B6989FBC2030F7A771"/>
    <w:rsid w:val="006972B3"/>
  </w:style>
  <w:style w:type="paragraph" w:customStyle="1" w:styleId="434812F3287B4370B8141E382ECE1E6C">
    <w:name w:val="434812F3287B4370B8141E382ECE1E6C"/>
    <w:rsid w:val="006972B3"/>
  </w:style>
  <w:style w:type="paragraph" w:customStyle="1" w:styleId="9E97568A386841D9A244E9EA443AE6D1">
    <w:name w:val="9E97568A386841D9A244E9EA443AE6D1"/>
    <w:rsid w:val="006972B3"/>
  </w:style>
  <w:style w:type="paragraph" w:customStyle="1" w:styleId="B1C544E6A3BB4A7EBC46099A9F439513">
    <w:name w:val="B1C544E6A3BB4A7EBC46099A9F439513"/>
    <w:rsid w:val="006972B3"/>
  </w:style>
  <w:style w:type="paragraph" w:customStyle="1" w:styleId="7D327360C1F0422D951EF182905F0027">
    <w:name w:val="7D327360C1F0422D951EF182905F0027"/>
    <w:rsid w:val="006972B3"/>
  </w:style>
  <w:style w:type="paragraph" w:customStyle="1" w:styleId="19C1EE360D1F430F854832338C1E0E0F">
    <w:name w:val="19C1EE360D1F430F854832338C1E0E0F"/>
    <w:rsid w:val="003516C5"/>
  </w:style>
  <w:style w:type="paragraph" w:customStyle="1" w:styleId="BE0F689534A9435290901C1737E76275">
    <w:name w:val="BE0F689534A9435290901C1737E76275"/>
    <w:rsid w:val="003516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6EA29-5705-447C-8EAF-E39C5757E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Application>Collabora_Office/24.04.17.3$Linux_X86_64 LibreOffice_project/28ed2877d69500d0ecbdb7f3efed32ef2f884df2</Application>
  <AppVersion>15.0000</AppVersion>
  <Pages>3</Pages>
  <Words>567</Words>
  <Characters>3830</Characters>
  <CharactersWithSpaces>4352</CharactersWithSpaces>
  <Paragraphs>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2024-08-23T09:32:00Z</dcterms:created>
  <dc:creator>Jan Biesenbender</dc:creator>
  <dc:description/>
  <dc:language>de-DE</dc:language>
  <cp:lastModifiedBy/>
  <cp:lastPrinted>2023-01-10T10:31:00Z</cp:lastPrinted>
  <dcterms:modified xsi:type="dcterms:W3CDTF">2026-09-24T13:38:03Z</dcterms:modified>
  <cp:revision>46</cp:revision>
  <dc:subject/>
  <dc:title/>
</cp:coreProperties>
</file>

<file path=docProps/custom.xml><?xml version="1.0" encoding="utf-8"?>
<Properties xmlns="http://schemas.openxmlformats.org/officeDocument/2006/custom-properties" xmlns:vt="http://schemas.openxmlformats.org/officeDocument/2006/docPropsVTypes"/>
</file>